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9E5B" w14:textId="77777777" w:rsidR="000D5B50" w:rsidRPr="000D5B50" w:rsidRDefault="000D5B50" w:rsidP="000D5B50">
      <w:pPr>
        <w:ind w:right="45"/>
        <w:outlineLvl w:val="2"/>
        <w:rPr>
          <w:rFonts w:ascii="Helvetica" w:eastAsia="Times New Roman" w:hAnsi="Helvetica" w:cs="Times New Roman"/>
          <w:b/>
          <w:bCs/>
          <w:color w:val="002855"/>
        </w:rPr>
      </w:pPr>
      <w:r w:rsidRPr="000D5B50">
        <w:rPr>
          <w:rFonts w:ascii="Helvetica" w:eastAsia="Times New Roman" w:hAnsi="Helvetica" w:cs="Times New Roman"/>
          <w:b/>
          <w:bCs/>
          <w:color w:val="002855"/>
        </w:rPr>
        <w:fldChar w:fldCharType="begin"/>
      </w:r>
      <w:r w:rsidRPr="000D5B50">
        <w:rPr>
          <w:rFonts w:ascii="Helvetica" w:eastAsia="Times New Roman" w:hAnsi="Helvetica" w:cs="Times New Roman"/>
          <w:b/>
          <w:bCs/>
          <w:color w:val="002855"/>
        </w:rPr>
        <w:instrText xml:space="preserve"> HYPERLINK "https://online.columbiasouthern.edu/webapps/assignment/uploadAssignment?content_id=_5268438_1&amp;course_id=_84798_1&amp;group_id=&amp;mode=view" </w:instrText>
      </w:r>
      <w:r w:rsidRPr="000D5B50">
        <w:rPr>
          <w:rFonts w:ascii="Helvetica" w:eastAsia="Times New Roman" w:hAnsi="Helvetica" w:cs="Times New Roman"/>
          <w:b/>
          <w:bCs/>
          <w:color w:val="002855"/>
        </w:rPr>
        <w:fldChar w:fldCharType="separate"/>
      </w:r>
      <w:r w:rsidRPr="000D5B50">
        <w:rPr>
          <w:rFonts w:ascii="Helvetica" w:eastAsia="Times New Roman" w:hAnsi="Helvetica" w:cs="Times New Roman"/>
          <w:b/>
          <w:bCs/>
          <w:color w:val="002855"/>
          <w:u w:val="single"/>
          <w:bdr w:val="none" w:sz="0" w:space="0" w:color="auto" w:frame="1"/>
        </w:rPr>
        <w:t>Unit VI Article Critique</w:t>
      </w:r>
      <w:r w:rsidRPr="000D5B50">
        <w:rPr>
          <w:rFonts w:ascii="Helvetica" w:eastAsia="Times New Roman" w:hAnsi="Helvetica" w:cs="Times New Roman"/>
          <w:b/>
          <w:bCs/>
          <w:color w:val="002855"/>
        </w:rPr>
        <w:fldChar w:fldCharType="end"/>
      </w:r>
      <w:r w:rsidRPr="000D5B50">
        <w:rPr>
          <w:rFonts w:ascii="Helvetica" w:eastAsia="Times New Roman" w:hAnsi="Helvetica" w:cs="Times New Roman"/>
          <w:b/>
          <w:bCs/>
          <w:color w:val="002855"/>
        </w:rPr>
        <w:t xml:space="preserve"> </w:t>
      </w:r>
    </w:p>
    <w:p w14:paraId="667FE166" w14:textId="77777777" w:rsidR="000D5B50" w:rsidRPr="000D5B50" w:rsidRDefault="000D5B50" w:rsidP="000D5B50">
      <w:pPr>
        <w:numPr>
          <w:ilvl w:val="0"/>
          <w:numId w:val="4"/>
        </w:numPr>
        <w:ind w:left="0"/>
        <w:rPr>
          <w:rFonts w:ascii="Helvetica" w:eastAsia="Times New Roman" w:hAnsi="Helvetica" w:cs="Times New Roman"/>
          <w:color w:val="333333"/>
          <w:sz w:val="21"/>
          <w:szCs w:val="21"/>
        </w:rPr>
      </w:pPr>
      <w:r w:rsidRPr="000D5B50">
        <w:rPr>
          <w:rFonts w:ascii="Helvetica" w:eastAsia="Times New Roman" w:hAnsi="Helvetica" w:cs="Times New Roman"/>
          <w:b/>
          <w:bCs/>
          <w:color w:val="333333"/>
          <w:sz w:val="21"/>
          <w:szCs w:val="21"/>
        </w:rPr>
        <w:t>Weight:</w:t>
      </w:r>
      <w:r w:rsidRPr="000D5B50">
        <w:rPr>
          <w:rFonts w:ascii="Helvetica" w:eastAsia="Times New Roman" w:hAnsi="Helvetica" w:cs="Times New Roman"/>
          <w:color w:val="333333"/>
          <w:sz w:val="21"/>
          <w:szCs w:val="21"/>
        </w:rPr>
        <w:t xml:space="preserve"> 13% of course grade</w:t>
      </w:r>
    </w:p>
    <w:p w14:paraId="52F6E5D0" w14:textId="77777777" w:rsidR="000D5B50" w:rsidRPr="000D5B50" w:rsidRDefault="000D5B50" w:rsidP="000D5B50">
      <w:pPr>
        <w:numPr>
          <w:ilvl w:val="0"/>
          <w:numId w:val="4"/>
        </w:numPr>
        <w:ind w:left="0"/>
        <w:rPr>
          <w:rFonts w:ascii="Helvetica" w:eastAsia="Times New Roman" w:hAnsi="Helvetica" w:cs="Times New Roman"/>
          <w:color w:val="333333"/>
          <w:sz w:val="21"/>
          <w:szCs w:val="21"/>
        </w:rPr>
      </w:pPr>
      <w:hyperlink r:id="rId6" w:anchor="grading-rubric" w:tooltip="Unit VI Article Critique Grading Rubric" w:history="1">
        <w:r w:rsidRPr="000D5B50">
          <w:rPr>
            <w:rFonts w:ascii="Helvetica" w:eastAsia="Times New Roman" w:hAnsi="Helvetica" w:cs="Times New Roman"/>
            <w:b/>
            <w:bCs/>
            <w:color w:val="002855"/>
            <w:sz w:val="21"/>
            <w:szCs w:val="21"/>
            <w:bdr w:val="none" w:sz="0" w:space="0" w:color="auto" w:frame="1"/>
          </w:rPr>
          <w:t>Grading Rubric</w:t>
        </w:r>
      </w:hyperlink>
    </w:p>
    <w:p w14:paraId="64DB3BA5" w14:textId="77777777" w:rsidR="000D5B50" w:rsidRPr="000D5B50" w:rsidRDefault="000D5B50" w:rsidP="000D5B50">
      <w:pPr>
        <w:spacing w:line="231" w:lineRule="atLeast"/>
        <w:outlineLvl w:val="4"/>
        <w:rPr>
          <w:rFonts w:ascii="Helvetica" w:eastAsia="Times New Roman" w:hAnsi="Helvetica" w:cs="Times New Roman"/>
          <w:b/>
          <w:bCs/>
          <w:color w:val="555555"/>
          <w:sz w:val="21"/>
          <w:szCs w:val="21"/>
        </w:rPr>
      </w:pPr>
      <w:r w:rsidRPr="000D5B50">
        <w:rPr>
          <w:rFonts w:ascii="Helvetica" w:eastAsia="Times New Roman" w:hAnsi="Helvetica" w:cs="Times New Roman"/>
          <w:b/>
          <w:bCs/>
          <w:color w:val="555555"/>
          <w:sz w:val="21"/>
          <w:szCs w:val="21"/>
        </w:rPr>
        <w:t>Instructions</w:t>
      </w:r>
    </w:p>
    <w:p w14:paraId="498C1609" w14:textId="77777777" w:rsidR="000D5B50" w:rsidRPr="000D5B50" w:rsidRDefault="000D5B50" w:rsidP="000D5B50">
      <w:pPr>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Locate the following article in the Business Source Complete database in the CSU Online Library: </w:t>
      </w:r>
    </w:p>
    <w:p w14:paraId="6F7E6EA9" w14:textId="77777777" w:rsidR="000D5B50" w:rsidRDefault="000D5B50" w:rsidP="000D5B50">
      <w:pPr>
        <w:ind w:left="720" w:hanging="720"/>
        <w:rPr>
          <w:rFonts w:ascii="Helvetica" w:eastAsia="Times New Roman" w:hAnsi="Helvetica" w:cs="Times New Roman"/>
          <w:color w:val="333333"/>
          <w:sz w:val="21"/>
          <w:szCs w:val="21"/>
        </w:rPr>
      </w:pPr>
    </w:p>
    <w:p w14:paraId="1E364318" w14:textId="4FD668C7" w:rsidR="000D5B50" w:rsidRPr="000D5B50" w:rsidRDefault="000D5B50" w:rsidP="000D5B50">
      <w:pPr>
        <w:ind w:left="720" w:hanging="720"/>
        <w:rPr>
          <w:rFonts w:ascii="Helvetica" w:eastAsia="Times New Roman" w:hAnsi="Helvetica" w:cs="Times New Roman"/>
          <w:b/>
          <w:i/>
          <w:color w:val="333333"/>
        </w:rPr>
      </w:pPr>
      <w:r w:rsidRPr="000D5B50">
        <w:rPr>
          <w:rFonts w:ascii="Helvetica" w:eastAsia="Times New Roman" w:hAnsi="Helvetica" w:cs="Times New Roman"/>
          <w:b/>
          <w:i/>
          <w:color w:val="333333"/>
        </w:rPr>
        <w:t xml:space="preserve">Hurd, R. W. (2013). Moving beyond the critical synthesis: Does the law preclude a future for US unions? </w:t>
      </w:r>
      <w:r w:rsidRPr="000D5B50">
        <w:rPr>
          <w:rFonts w:ascii="Helvetica" w:eastAsia="Times New Roman" w:hAnsi="Helvetica" w:cs="Times New Roman"/>
          <w:b/>
          <w:i/>
          <w:iCs/>
          <w:color w:val="333333"/>
          <w:bdr w:val="none" w:sz="0" w:space="0" w:color="auto" w:frame="1"/>
        </w:rPr>
        <w:t>Labor History</w:t>
      </w:r>
      <w:r w:rsidRPr="000D5B50">
        <w:rPr>
          <w:rFonts w:ascii="Helvetica" w:eastAsia="Times New Roman" w:hAnsi="Helvetica" w:cs="Times New Roman"/>
          <w:b/>
          <w:i/>
          <w:color w:val="333333"/>
        </w:rPr>
        <w:t xml:space="preserve">, 54(2), 193-200. </w:t>
      </w:r>
    </w:p>
    <w:p w14:paraId="22B8B1CF" w14:textId="77777777" w:rsidR="000D5B50" w:rsidRPr="000D5B50" w:rsidRDefault="000D5B50" w:rsidP="000D5B50">
      <w:pPr>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This article is a reflective essay that assesses the strength of comments made by Christopher L. Tomlins in his book </w:t>
      </w:r>
      <w:r w:rsidRPr="000D5B50">
        <w:rPr>
          <w:rFonts w:ascii="Helvetica" w:eastAsia="Times New Roman" w:hAnsi="Helvetica" w:cs="Times New Roman"/>
          <w:i/>
          <w:iCs/>
          <w:color w:val="333333"/>
          <w:sz w:val="21"/>
          <w:szCs w:val="21"/>
          <w:bdr w:val="none" w:sz="0" w:space="0" w:color="auto" w:frame="1"/>
        </w:rPr>
        <w:t>The State and Unions</w:t>
      </w:r>
      <w:r w:rsidRPr="000D5B50">
        <w:rPr>
          <w:rFonts w:ascii="Helvetica" w:eastAsia="Times New Roman" w:hAnsi="Helvetica" w:cs="Times New Roman"/>
          <w:color w:val="333333"/>
          <w:sz w:val="21"/>
          <w:szCs w:val="21"/>
        </w:rPr>
        <w:t xml:space="preserve"> (1985), which looks back over the past quarter century. Various predictions were made concerning union decline and failed revival efforts as well as counterfeit rights offered to the U.S. working class. </w:t>
      </w:r>
    </w:p>
    <w:p w14:paraId="228A0D9F" w14:textId="77777777" w:rsidR="000D5B50" w:rsidRPr="000D5B50" w:rsidRDefault="000D5B50" w:rsidP="000D5B50">
      <w:pPr>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Using </w:t>
      </w:r>
      <w:proofErr w:type="gramStart"/>
      <w:r w:rsidRPr="000D5B50">
        <w:rPr>
          <w:rFonts w:ascii="Helvetica" w:eastAsia="Times New Roman" w:hAnsi="Helvetica" w:cs="Times New Roman"/>
          <w:color w:val="333333"/>
          <w:sz w:val="21"/>
          <w:szCs w:val="21"/>
        </w:rPr>
        <w:t>all of</w:t>
      </w:r>
      <w:proofErr w:type="gramEnd"/>
      <w:r w:rsidRPr="000D5B50">
        <w:rPr>
          <w:rFonts w:ascii="Helvetica" w:eastAsia="Times New Roman" w:hAnsi="Helvetica" w:cs="Times New Roman"/>
          <w:color w:val="333333"/>
          <w:sz w:val="21"/>
          <w:szCs w:val="21"/>
        </w:rPr>
        <w:t xml:space="preserve"> the knowledge accumulated in this unit and in previous units, write a critique of the article. You may use other academic resources to support your points as necessary. Your critique must be at least three pages in length. </w:t>
      </w:r>
    </w:p>
    <w:p w14:paraId="253941D0" w14:textId="77777777" w:rsidR="000D5B50" w:rsidRPr="000D5B50" w:rsidRDefault="000D5B50" w:rsidP="000D5B50">
      <w:pPr>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Your critique should address the questions below. </w:t>
      </w:r>
    </w:p>
    <w:p w14:paraId="209E931E"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What </w:t>
      </w:r>
      <w:proofErr w:type="gramStart"/>
      <w:r w:rsidRPr="000D5B50">
        <w:rPr>
          <w:rFonts w:ascii="Helvetica" w:eastAsia="Times New Roman" w:hAnsi="Helvetica" w:cs="Times New Roman"/>
          <w:color w:val="333333"/>
          <w:sz w:val="21"/>
          <w:szCs w:val="21"/>
        </w:rPr>
        <w:t>are</w:t>
      </w:r>
      <w:proofErr w:type="gramEnd"/>
      <w:r w:rsidRPr="000D5B50">
        <w:rPr>
          <w:rFonts w:ascii="Helvetica" w:eastAsia="Times New Roman" w:hAnsi="Helvetica" w:cs="Times New Roman"/>
          <w:color w:val="333333"/>
          <w:sz w:val="21"/>
          <w:szCs w:val="21"/>
        </w:rPr>
        <w:t xml:space="preserve"> the author’s main points? </w:t>
      </w:r>
    </w:p>
    <w:p w14:paraId="7E7EB578"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Do the arguments presented by the author support the main point? </w:t>
      </w:r>
    </w:p>
    <w:p w14:paraId="5E04B90C"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What evidence supports the main point? For example, if Tomlin’s thesis that the New Deal offered only a counterfeit liberty to labor is true, what effect does that have on employee morale? </w:t>
      </w:r>
    </w:p>
    <w:p w14:paraId="763BF652"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Briefly describe two collective bargaining strategies companies use when dealing with unions. How can these strategies affect employee morale? </w:t>
      </w:r>
    </w:p>
    <w:p w14:paraId="75659661"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What is your opinion of the article? </w:t>
      </w:r>
    </w:p>
    <w:p w14:paraId="55470B56" w14:textId="77777777" w:rsidR="000D5B50" w:rsidRPr="000D5B50" w:rsidRDefault="000D5B50" w:rsidP="000D5B50">
      <w:pPr>
        <w:numPr>
          <w:ilvl w:val="0"/>
          <w:numId w:val="5"/>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What evidence, either from the textbook or from additional sources, supports your opinion? </w:t>
      </w:r>
    </w:p>
    <w:p w14:paraId="218AC513" w14:textId="77777777" w:rsidR="000D5B50" w:rsidRPr="000D5B50" w:rsidRDefault="000D5B50" w:rsidP="000D5B50">
      <w:pPr>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Be sure to follow the guidelines below. </w:t>
      </w:r>
    </w:p>
    <w:p w14:paraId="63B733C8" w14:textId="77777777" w:rsidR="000D5B50" w:rsidRPr="000D5B50" w:rsidRDefault="000D5B50" w:rsidP="000D5B50">
      <w:pPr>
        <w:numPr>
          <w:ilvl w:val="0"/>
          <w:numId w:val="6"/>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Accurately identify the premise and supporting points from the article. </w:t>
      </w:r>
    </w:p>
    <w:p w14:paraId="064A5D3F" w14:textId="77777777" w:rsidR="000D5B50" w:rsidRPr="000D5B50" w:rsidRDefault="000D5B50" w:rsidP="000D5B50">
      <w:pPr>
        <w:numPr>
          <w:ilvl w:val="0"/>
          <w:numId w:val="6"/>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Provide an insightful and thorough analysis of the information from the article, including using evidence as well as reasonable and compelling interpretations. </w:t>
      </w:r>
    </w:p>
    <w:p w14:paraId="6DE7E857" w14:textId="77777777" w:rsidR="000D5B50" w:rsidRPr="000D5B50" w:rsidRDefault="000D5B50" w:rsidP="000D5B50">
      <w:pPr>
        <w:numPr>
          <w:ilvl w:val="0"/>
          <w:numId w:val="6"/>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Link material to course content and real-world situations. </w:t>
      </w:r>
    </w:p>
    <w:p w14:paraId="74C9431E" w14:textId="77777777" w:rsidR="000D5B50" w:rsidRPr="000D5B50" w:rsidRDefault="000D5B50" w:rsidP="000D5B50">
      <w:pPr>
        <w:numPr>
          <w:ilvl w:val="0"/>
          <w:numId w:val="6"/>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 xml:space="preserve">Organize the material logically by using smooth transitions and by grouping similar material together. </w:t>
      </w:r>
    </w:p>
    <w:p w14:paraId="6820DD4B" w14:textId="77777777" w:rsidR="000D5B50" w:rsidRPr="000D5B50" w:rsidRDefault="000D5B50" w:rsidP="000D5B50">
      <w:pPr>
        <w:numPr>
          <w:ilvl w:val="0"/>
          <w:numId w:val="6"/>
        </w:numPr>
        <w:ind w:left="0"/>
        <w:rPr>
          <w:rFonts w:ascii="Helvetica" w:eastAsia="Times New Roman" w:hAnsi="Helvetica" w:cs="Times New Roman"/>
          <w:color w:val="333333"/>
          <w:sz w:val="21"/>
          <w:szCs w:val="21"/>
        </w:rPr>
      </w:pPr>
      <w:r w:rsidRPr="000D5B50">
        <w:rPr>
          <w:rFonts w:ascii="Helvetica" w:eastAsia="Times New Roman" w:hAnsi="Helvetica" w:cs="Times New Roman"/>
          <w:color w:val="333333"/>
          <w:sz w:val="21"/>
          <w:szCs w:val="21"/>
        </w:rPr>
        <w:t>Cite all sources used; paraphrased and quoted material must have accompanying citations in APA format.</w:t>
      </w:r>
    </w:p>
    <w:p w14:paraId="0CFEAFF0" w14:textId="77777777" w:rsidR="000D5B50" w:rsidRDefault="000D5B50" w:rsidP="000D5B50">
      <w:pPr>
        <w:rPr>
          <w:rFonts w:ascii="AR CENA" w:hAnsi="AR CENA"/>
        </w:rPr>
      </w:pPr>
    </w:p>
    <w:p w14:paraId="018DD0AF" w14:textId="77777777" w:rsidR="000D5B50" w:rsidRDefault="000D5B50" w:rsidP="000D5B50">
      <w:pPr>
        <w:rPr>
          <w:rFonts w:ascii="AR CENA" w:hAnsi="AR CENA"/>
        </w:rPr>
      </w:pPr>
    </w:p>
    <w:p w14:paraId="598E55CD" w14:textId="77777777" w:rsidR="000D5B50" w:rsidRDefault="000D5B50" w:rsidP="000D5B50">
      <w:pPr>
        <w:rPr>
          <w:rFonts w:ascii="AR CENA" w:hAnsi="AR CENA"/>
        </w:rPr>
      </w:pPr>
    </w:p>
    <w:p w14:paraId="43A743E3" w14:textId="77777777" w:rsidR="000D5B50" w:rsidRDefault="000D5B50" w:rsidP="000D5B50">
      <w:pPr>
        <w:rPr>
          <w:rFonts w:ascii="AR CENA" w:hAnsi="AR CENA"/>
        </w:rPr>
      </w:pPr>
    </w:p>
    <w:p w14:paraId="08CF3826" w14:textId="77777777" w:rsidR="000D5B50" w:rsidRDefault="000D5B50" w:rsidP="000D5B50">
      <w:pPr>
        <w:rPr>
          <w:rFonts w:ascii="AR CENA" w:hAnsi="AR CENA"/>
        </w:rPr>
      </w:pPr>
    </w:p>
    <w:p w14:paraId="5A9B9E26" w14:textId="77777777" w:rsidR="000D5B50" w:rsidRDefault="000D5B50" w:rsidP="000D5B50">
      <w:pPr>
        <w:rPr>
          <w:rFonts w:ascii="AR CENA" w:hAnsi="AR CENA"/>
        </w:rPr>
      </w:pPr>
    </w:p>
    <w:p w14:paraId="1D011594" w14:textId="77777777" w:rsidR="000D5B50" w:rsidRDefault="000D5B50" w:rsidP="000D5B50">
      <w:pPr>
        <w:rPr>
          <w:rFonts w:ascii="AR CENA" w:hAnsi="AR CENA"/>
        </w:rPr>
      </w:pPr>
      <w:bookmarkStart w:id="0" w:name="_GoBack"/>
      <w:bookmarkEnd w:id="0"/>
    </w:p>
    <w:p w14:paraId="62DB46AD" w14:textId="77777777" w:rsidR="000D5B50" w:rsidRDefault="000D5B50" w:rsidP="000D5B50">
      <w:pPr>
        <w:rPr>
          <w:rFonts w:ascii="AR CENA" w:hAnsi="AR CENA"/>
        </w:rPr>
      </w:pPr>
    </w:p>
    <w:p w14:paraId="7508CF24" w14:textId="77777777" w:rsidR="000D5B50" w:rsidRDefault="000D5B50" w:rsidP="000D5B50">
      <w:pPr>
        <w:rPr>
          <w:rFonts w:ascii="AR CENA" w:hAnsi="AR CENA"/>
        </w:rPr>
      </w:pPr>
    </w:p>
    <w:p w14:paraId="7F4E6D3F" w14:textId="77777777" w:rsidR="000D5B50" w:rsidRDefault="000D5B50" w:rsidP="000D5B50">
      <w:pPr>
        <w:rPr>
          <w:rFonts w:ascii="AR CENA" w:hAnsi="AR CENA"/>
        </w:rPr>
      </w:pPr>
    </w:p>
    <w:p w14:paraId="76575719" w14:textId="77777777" w:rsidR="000D5B50" w:rsidRDefault="000D5B50" w:rsidP="000D5B50">
      <w:pPr>
        <w:rPr>
          <w:rFonts w:ascii="AR CENA" w:hAnsi="AR CENA"/>
        </w:rPr>
      </w:pPr>
    </w:p>
    <w:p w14:paraId="39AC0768" w14:textId="77777777" w:rsidR="000D5B50" w:rsidRDefault="000D5B50" w:rsidP="000D5B50">
      <w:pPr>
        <w:rPr>
          <w:rFonts w:ascii="AR CENA" w:hAnsi="AR CENA"/>
        </w:rPr>
      </w:pPr>
    </w:p>
    <w:p w14:paraId="2F9412E9" w14:textId="77777777" w:rsidR="000D5B50" w:rsidRDefault="000D5B50" w:rsidP="000D5B50">
      <w:pPr>
        <w:rPr>
          <w:rFonts w:ascii="AR CENA" w:hAnsi="AR CENA"/>
        </w:rPr>
      </w:pPr>
    </w:p>
    <w:p w14:paraId="28AE4FCE" w14:textId="77777777" w:rsidR="000D5B50" w:rsidRDefault="000D5B50" w:rsidP="000D5B50">
      <w:pPr>
        <w:rPr>
          <w:rFonts w:ascii="AR CENA" w:hAnsi="AR CENA"/>
        </w:rPr>
      </w:pPr>
    </w:p>
    <w:p w14:paraId="0631E3EF" w14:textId="77777777" w:rsidR="000D5B50" w:rsidRDefault="000D5B50" w:rsidP="000D5B50">
      <w:pPr>
        <w:rPr>
          <w:rFonts w:ascii="AR CENA" w:hAnsi="AR CENA"/>
        </w:rPr>
      </w:pPr>
    </w:p>
    <w:p w14:paraId="3D7471C2" w14:textId="77777777" w:rsidR="000D5B50" w:rsidRDefault="000D5B50" w:rsidP="000D5B50">
      <w:pPr>
        <w:rPr>
          <w:rFonts w:ascii="AR CENA" w:hAnsi="AR CENA"/>
        </w:rPr>
      </w:pPr>
    </w:p>
    <w:p w14:paraId="389D10F4" w14:textId="77777777" w:rsidR="000D5B50" w:rsidRDefault="000D5B50" w:rsidP="000D5B50">
      <w:pPr>
        <w:rPr>
          <w:rFonts w:ascii="AR CENA" w:hAnsi="AR CENA"/>
        </w:rPr>
      </w:pPr>
    </w:p>
    <w:p w14:paraId="281BC770" w14:textId="77777777" w:rsidR="000D5B50" w:rsidRDefault="000D5B50" w:rsidP="000D5B50">
      <w:pPr>
        <w:rPr>
          <w:rFonts w:ascii="AR CENA" w:hAnsi="AR CENA"/>
        </w:rPr>
      </w:pPr>
    </w:p>
    <w:p w14:paraId="50CB46D2" w14:textId="77777777" w:rsidR="000D5B50" w:rsidRDefault="000D5B50" w:rsidP="000D5B50">
      <w:pPr>
        <w:rPr>
          <w:rFonts w:ascii="AR CENA" w:hAnsi="AR CENA"/>
        </w:rPr>
      </w:pPr>
    </w:p>
    <w:p w14:paraId="4D6E2354" w14:textId="77777777" w:rsidR="000D5B50" w:rsidRDefault="000D5B50" w:rsidP="000D5B50">
      <w:pPr>
        <w:rPr>
          <w:rFonts w:ascii="AR CENA" w:hAnsi="AR CENA"/>
        </w:rPr>
      </w:pPr>
    </w:p>
    <w:p w14:paraId="730C16EF" w14:textId="77777777" w:rsidR="000D5B50" w:rsidRDefault="000D5B50" w:rsidP="000D5B50">
      <w:pPr>
        <w:rPr>
          <w:rFonts w:ascii="AR CENA" w:hAnsi="AR CENA"/>
        </w:rPr>
      </w:pPr>
    </w:p>
    <w:p w14:paraId="63B9663D" w14:textId="77777777" w:rsidR="000D5B50" w:rsidRDefault="000D5B50" w:rsidP="000D5B50">
      <w:pPr>
        <w:rPr>
          <w:rFonts w:ascii="AR CENA" w:hAnsi="AR CENA"/>
        </w:rPr>
      </w:pPr>
    </w:p>
    <w:p w14:paraId="7FE767C7" w14:textId="77777777" w:rsidR="000D5B50" w:rsidRDefault="000D5B50" w:rsidP="000D5B50">
      <w:pPr>
        <w:rPr>
          <w:rFonts w:ascii="AR CENA" w:hAnsi="AR CENA"/>
        </w:rPr>
      </w:pPr>
    </w:p>
    <w:p w14:paraId="6EC94328" w14:textId="77777777" w:rsidR="000D5B50" w:rsidRDefault="000D5B50" w:rsidP="000D5B50">
      <w:pPr>
        <w:rPr>
          <w:rFonts w:ascii="AR CENA" w:hAnsi="AR CENA"/>
        </w:rPr>
      </w:pPr>
    </w:p>
    <w:p w14:paraId="52D55851" w14:textId="77777777" w:rsidR="000D5B50" w:rsidRDefault="000D5B50" w:rsidP="000D5B50">
      <w:pPr>
        <w:rPr>
          <w:rFonts w:ascii="AR CENA" w:hAnsi="AR CENA"/>
        </w:rPr>
      </w:pPr>
    </w:p>
    <w:p w14:paraId="5F8E7CB4" w14:textId="77777777" w:rsidR="000D5B50" w:rsidRDefault="000D5B50" w:rsidP="000D5B50">
      <w:pPr>
        <w:rPr>
          <w:rFonts w:ascii="AR CENA" w:hAnsi="AR CENA"/>
        </w:rPr>
      </w:pPr>
    </w:p>
    <w:p w14:paraId="2349D28F" w14:textId="77777777" w:rsidR="000D5B50" w:rsidRPr="000D5B50" w:rsidRDefault="000D5B50" w:rsidP="000D5B50">
      <w:pPr>
        <w:rPr>
          <w:rFonts w:ascii="AR CENA" w:hAnsi="AR CENA"/>
          <w:b/>
          <w:i/>
          <w:sz w:val="28"/>
          <w:szCs w:val="28"/>
        </w:rPr>
      </w:pPr>
    </w:p>
    <w:p w14:paraId="6B7CF9DA" w14:textId="1785055D" w:rsidR="000D5B50" w:rsidRPr="000D5B50" w:rsidRDefault="000D5B50" w:rsidP="000D5B50">
      <w:pPr>
        <w:rPr>
          <w:rFonts w:ascii="AR CENA" w:hAnsi="AR CENA"/>
          <w:b/>
          <w:i/>
          <w:sz w:val="28"/>
          <w:szCs w:val="28"/>
        </w:rPr>
      </w:pPr>
      <w:r w:rsidRPr="000D5B50">
        <w:rPr>
          <w:rFonts w:ascii="Helvetica" w:hAnsi="Helvetica"/>
          <w:b/>
          <w:i/>
          <w:color w:val="333333"/>
          <w:sz w:val="28"/>
          <w:szCs w:val="28"/>
        </w:rPr>
        <w:t xml:space="preserve">Hurd, R. W. (2013). Moving beyond the critical synthesis: Does the law preclude a future for US unions? </w:t>
      </w:r>
      <w:r w:rsidRPr="000D5B50">
        <w:rPr>
          <w:rStyle w:val="Emphasis"/>
          <w:rFonts w:ascii="Helvetica" w:hAnsi="Helvetica"/>
          <w:b/>
          <w:i w:val="0"/>
          <w:color w:val="333333"/>
          <w:sz w:val="28"/>
          <w:szCs w:val="28"/>
          <w:bdr w:val="none" w:sz="0" w:space="0" w:color="auto" w:frame="1"/>
        </w:rPr>
        <w:t>Labor History</w:t>
      </w:r>
      <w:r w:rsidRPr="000D5B50">
        <w:rPr>
          <w:rFonts w:ascii="Helvetica" w:hAnsi="Helvetica"/>
          <w:b/>
          <w:i/>
          <w:color w:val="333333"/>
          <w:sz w:val="28"/>
          <w:szCs w:val="28"/>
        </w:rPr>
        <w:t>, 54(2), 193-200.</w:t>
      </w:r>
    </w:p>
    <w:p w14:paraId="302C9045" w14:textId="77777777" w:rsidR="000D5B50" w:rsidRDefault="000D5B50" w:rsidP="000D5B50">
      <w:pPr>
        <w:rPr>
          <w:rFonts w:ascii="AR CENA" w:hAnsi="AR CENA"/>
        </w:rPr>
      </w:pPr>
    </w:p>
    <w:p w14:paraId="7F25F716" w14:textId="348A13F6" w:rsidR="000D5B50" w:rsidRPr="000D5B50" w:rsidRDefault="000D5B50" w:rsidP="000D5B50">
      <w:pPr>
        <w:rPr>
          <w:rFonts w:ascii="AR CENA" w:hAnsi="AR CENA"/>
        </w:rPr>
      </w:pPr>
      <w:r w:rsidRPr="000D5B50">
        <w:rPr>
          <w:rFonts w:ascii="AR CENA" w:hAnsi="AR CENA"/>
        </w:rPr>
        <w:t>Moving beyond the critical synthesis: does the law preclude a future for US unions?</w:t>
      </w:r>
    </w:p>
    <w:p w14:paraId="6E84F49C" w14:textId="77777777" w:rsidR="000D5B50" w:rsidRPr="000D5B50" w:rsidRDefault="000D5B50" w:rsidP="000D5B50">
      <w:pPr>
        <w:rPr>
          <w:rFonts w:ascii="AR CENA" w:hAnsi="AR CENA"/>
        </w:rPr>
      </w:pPr>
      <w:r w:rsidRPr="000D5B50">
        <w:rPr>
          <w:rFonts w:ascii="AR CENA" w:hAnsi="AR CENA"/>
        </w:rPr>
        <w:t>Richard W. Hurd*</w:t>
      </w:r>
    </w:p>
    <w:p w14:paraId="7DA8FAFB" w14:textId="77777777" w:rsidR="000D5B50" w:rsidRPr="000D5B50" w:rsidRDefault="000D5B50" w:rsidP="000D5B50">
      <w:pPr>
        <w:rPr>
          <w:rFonts w:ascii="AR CENA" w:hAnsi="AR CENA"/>
        </w:rPr>
      </w:pPr>
      <w:r w:rsidRPr="000D5B50">
        <w:rPr>
          <w:rFonts w:ascii="AR CENA" w:hAnsi="AR CENA"/>
        </w:rPr>
        <w:t>Cornell University, Ithaca, NY, USA</w:t>
      </w:r>
    </w:p>
    <w:p w14:paraId="56B16831" w14:textId="77777777" w:rsidR="000D5B50" w:rsidRPr="000D5B50" w:rsidRDefault="000D5B50" w:rsidP="000D5B50">
      <w:pPr>
        <w:rPr>
          <w:rFonts w:ascii="AR CENA" w:hAnsi="AR CENA"/>
        </w:rPr>
      </w:pPr>
      <w:r w:rsidRPr="000D5B50">
        <w:rPr>
          <w:rFonts w:ascii="AR CENA" w:hAnsi="AR CENA"/>
        </w:rPr>
        <w:t xml:space="preserve">This retrospective essay on Tomlins’ The State and Unions assesses the durability of his observations </w:t>
      </w:r>
      <w:proofErr w:type="gramStart"/>
      <w:r w:rsidRPr="000D5B50">
        <w:rPr>
          <w:rFonts w:ascii="AR CENA" w:hAnsi="AR CENA"/>
        </w:rPr>
        <w:t>in light of</w:t>
      </w:r>
      <w:proofErr w:type="gramEnd"/>
      <w:r w:rsidRPr="000D5B50">
        <w:rPr>
          <w:rFonts w:ascii="AR CENA" w:hAnsi="AR CENA"/>
        </w:rPr>
        <w:t xml:space="preserve"> developments over the past quarter century. The decline of unions in the context of minimal protections offered under contemporary labor law seems to ﬁt Tomlins’ thesis that the New Deal offered only a counterfeit liberty to labor. A brief review of failed efforts at union revitalization demonstrates that labor’s waning fortunes are as much a sign of institutional rigidity and internal weakness as result of external constraints. Any current semblance of liberty offered to the U.S. working class is indeed counterfeit, but the source of fraud is the full set of neoliberal economic policies, not the narrow constraints of labor law alone.</w:t>
      </w:r>
    </w:p>
    <w:p w14:paraId="6EF70720" w14:textId="77777777" w:rsidR="000D5B50" w:rsidRPr="000D5B50" w:rsidRDefault="000D5B50" w:rsidP="000D5B50">
      <w:pPr>
        <w:rPr>
          <w:rFonts w:ascii="AR CENA" w:hAnsi="AR CENA"/>
        </w:rPr>
      </w:pPr>
      <w:r w:rsidRPr="000D5B50">
        <w:rPr>
          <w:rFonts w:ascii="AR CENA" w:hAnsi="AR CENA"/>
        </w:rPr>
        <w:t xml:space="preserve">As Jean-Christian </w:t>
      </w:r>
      <w:proofErr w:type="spellStart"/>
      <w:r w:rsidRPr="000D5B50">
        <w:rPr>
          <w:rFonts w:ascii="AR CENA" w:hAnsi="AR CENA"/>
        </w:rPr>
        <w:t>Vinel</w:t>
      </w:r>
      <w:proofErr w:type="spellEnd"/>
      <w:r w:rsidRPr="000D5B50">
        <w:rPr>
          <w:rFonts w:ascii="AR CENA" w:hAnsi="AR CENA"/>
        </w:rPr>
        <w:t xml:space="preserve"> reminds us, when Christopher Tomlins’ The State and Unions was published in 1985 it was embraced by left academics as a ‘devastating analysis of the labor relations regime erected by Progressive and New Deal reformers.’ </w:t>
      </w:r>
      <w:proofErr w:type="gramStart"/>
      <w:r w:rsidRPr="000D5B50">
        <w:rPr>
          <w:rFonts w:ascii="AR CENA" w:hAnsi="AR CENA"/>
        </w:rPr>
        <w:t>Indeed</w:t>
      </w:r>
      <w:proofErr w:type="gramEnd"/>
      <w:r w:rsidRPr="000D5B50">
        <w:rPr>
          <w:rFonts w:ascii="AR CENA" w:hAnsi="AR CENA"/>
        </w:rPr>
        <w:t xml:space="preserve"> Tomlins’ portrayal of the original National Labor Relation Act (NLRA) as the foundation of a set of ‘legal rules and institutional constraints’ that would curb workers militance and ultimately weaken the labor movement was particularly pertinent in the mid-1980s. At that juncture, private sector union density was in sharp decline, and even prominent labor leaders seemed to be echoing Tomlins with their outspoken criticism of the law and the National Labor Relations Board (NLRB). </w:t>
      </w:r>
      <w:proofErr w:type="spellStart"/>
      <w:r w:rsidRPr="000D5B50">
        <w:rPr>
          <w:rFonts w:ascii="AR CENA" w:hAnsi="AR CENA"/>
        </w:rPr>
        <w:t>Vinel</w:t>
      </w:r>
      <w:proofErr w:type="spellEnd"/>
      <w:r w:rsidRPr="000D5B50">
        <w:rPr>
          <w:rFonts w:ascii="AR CENA" w:hAnsi="AR CENA"/>
        </w:rPr>
        <w:t xml:space="preserve"> appropriately positions Tomlins contribution within an interdisciplinary paradigm that he labels the ‘critical synthesis’ encompassing New Left social scientists and Critical Legal scholars. </w:t>
      </w:r>
      <w:proofErr w:type="gramStart"/>
      <w:r w:rsidRPr="000D5B50">
        <w:rPr>
          <w:rFonts w:ascii="AR CENA" w:hAnsi="AR CENA"/>
        </w:rPr>
        <w:t>Indeed</w:t>
      </w:r>
      <w:proofErr w:type="gramEnd"/>
      <w:r w:rsidRPr="000D5B50">
        <w:rPr>
          <w:rFonts w:ascii="AR CENA" w:hAnsi="AR CENA"/>
        </w:rPr>
        <w:t xml:space="preserve"> those of us with roots in the New Left greeted Tomlins work as a vindication of our skepticism regarding the New Deal and its supposed </w:t>
      </w:r>
      <w:proofErr w:type="spellStart"/>
      <w:r w:rsidRPr="000D5B50">
        <w:rPr>
          <w:rFonts w:ascii="AR CENA" w:hAnsi="AR CENA"/>
        </w:rPr>
        <w:t>leftprogressive</w:t>
      </w:r>
      <w:proofErr w:type="spellEnd"/>
      <w:r w:rsidRPr="000D5B50">
        <w:rPr>
          <w:rFonts w:ascii="AR CENA" w:hAnsi="AR CENA"/>
        </w:rPr>
        <w:t xml:space="preserve"> tilt, and as a piece of thorough scholarship that conﬁrmed our own less </w:t>
      </w:r>
      <w:proofErr w:type="spellStart"/>
      <w:r w:rsidRPr="000D5B50">
        <w:rPr>
          <w:rFonts w:ascii="AR CENA" w:hAnsi="AR CENA"/>
        </w:rPr>
        <w:t>wellframed</w:t>
      </w:r>
      <w:proofErr w:type="spellEnd"/>
      <w:r w:rsidRPr="000D5B50">
        <w:rPr>
          <w:rFonts w:ascii="AR CENA" w:hAnsi="AR CENA"/>
        </w:rPr>
        <w:t xml:space="preserve"> arguments.1 Of course The State and the Unions was not met with universal praise, but like all good scholarship served as a catalyst for healthy debate. As noted by </w:t>
      </w:r>
      <w:proofErr w:type="spellStart"/>
      <w:r w:rsidRPr="000D5B50">
        <w:rPr>
          <w:rFonts w:ascii="AR CENA" w:hAnsi="AR CENA"/>
        </w:rPr>
        <w:t>Vinel</w:t>
      </w:r>
      <w:proofErr w:type="spellEnd"/>
      <w:r w:rsidRPr="000D5B50">
        <w:rPr>
          <w:rFonts w:ascii="AR CENA" w:hAnsi="AR CENA"/>
        </w:rPr>
        <w:t xml:space="preserve">, among the critics was Melvyn </w:t>
      </w:r>
      <w:proofErr w:type="spellStart"/>
      <w:r w:rsidRPr="000D5B50">
        <w:rPr>
          <w:rFonts w:ascii="AR CENA" w:hAnsi="AR CENA"/>
        </w:rPr>
        <w:t>Dubofsky</w:t>
      </w:r>
      <w:proofErr w:type="spellEnd"/>
      <w:r w:rsidRPr="000D5B50">
        <w:rPr>
          <w:rFonts w:ascii="AR CENA" w:hAnsi="AR CENA"/>
        </w:rPr>
        <w:t xml:space="preserve">, who questioned whether a militant labor movement would have emerged even if conﬂict had not been channeled into the bureaucratic procedures of the NLRB. </w:t>
      </w:r>
      <w:proofErr w:type="spellStart"/>
      <w:r w:rsidRPr="000D5B50">
        <w:rPr>
          <w:rFonts w:ascii="AR CENA" w:hAnsi="AR CENA"/>
        </w:rPr>
        <w:t>Dubofsky</w:t>
      </w:r>
      <w:proofErr w:type="spellEnd"/>
      <w:r w:rsidRPr="000D5B50">
        <w:rPr>
          <w:rFonts w:ascii="AR CENA" w:hAnsi="AR CENA"/>
        </w:rPr>
        <w:t xml:space="preserve"> went beyond this basic criticism (which was raised as well by others at the time) </w:t>
      </w:r>
      <w:proofErr w:type="gramStart"/>
      <w:r w:rsidRPr="000D5B50">
        <w:rPr>
          <w:rFonts w:ascii="AR CENA" w:hAnsi="AR CENA"/>
        </w:rPr>
        <w:t>and also</w:t>
      </w:r>
      <w:proofErr w:type="gramEnd"/>
      <w:r w:rsidRPr="000D5B50">
        <w:rPr>
          <w:rFonts w:ascii="AR CENA" w:hAnsi="AR CENA"/>
        </w:rPr>
        <w:t xml:space="preserve"> disagreed with Tomlins’ main thesis, arguing instead that the law and its administration can be understood only in the broader context of shifting economic and political power relations.2 The latter point has been developed more fully by James Gross</w:t>
      </w:r>
    </w:p>
    <w:p w14:paraId="15D942F9" w14:textId="77777777" w:rsidR="000D5B50" w:rsidRPr="000D5B50" w:rsidRDefault="000D5B50" w:rsidP="000D5B50">
      <w:pPr>
        <w:rPr>
          <w:rFonts w:ascii="AR CENA" w:hAnsi="AR CENA"/>
        </w:rPr>
      </w:pPr>
      <w:r w:rsidRPr="000D5B50">
        <w:rPr>
          <w:rFonts w:ascii="AR CENA" w:hAnsi="AR CENA"/>
        </w:rPr>
        <w:t>q 2013 Taylor &amp; Francis</w:t>
      </w:r>
    </w:p>
    <w:p w14:paraId="4AEB171C" w14:textId="77777777" w:rsidR="000D5B50" w:rsidRPr="000D5B50" w:rsidRDefault="000D5B50" w:rsidP="000D5B50">
      <w:pPr>
        <w:rPr>
          <w:rFonts w:ascii="AR CENA" w:hAnsi="AR CENA"/>
        </w:rPr>
      </w:pPr>
      <w:r w:rsidRPr="000D5B50">
        <w:rPr>
          <w:rFonts w:ascii="AR CENA" w:hAnsi="AR CENA"/>
        </w:rPr>
        <w:t>*Email: rwh8@cornell.edu</w:t>
      </w:r>
    </w:p>
    <w:p w14:paraId="37E2600B" w14:textId="77777777" w:rsidR="000D5B50" w:rsidRPr="000D5B50" w:rsidRDefault="000D5B50" w:rsidP="000D5B50">
      <w:pPr>
        <w:rPr>
          <w:rFonts w:ascii="AR CENA" w:hAnsi="AR CENA"/>
        </w:rPr>
      </w:pPr>
      <w:r w:rsidRPr="000D5B50">
        <w:rPr>
          <w:rFonts w:ascii="AR CENA" w:hAnsi="AR CENA"/>
        </w:rPr>
        <w:lastRenderedPageBreak/>
        <w:t>Labor History, 2013 Vol. 54, No. 2, 193–200, http://dx.doi.org/10.1080/0023656X.2013.773147</w:t>
      </w:r>
    </w:p>
    <w:p w14:paraId="028B5BCB" w14:textId="77777777" w:rsidR="000D5B50" w:rsidRPr="000D5B50" w:rsidRDefault="000D5B50" w:rsidP="000D5B50">
      <w:pPr>
        <w:rPr>
          <w:rFonts w:ascii="AR CENA" w:hAnsi="AR CENA"/>
        </w:rPr>
      </w:pPr>
      <w:r w:rsidRPr="000D5B50">
        <w:rPr>
          <w:rFonts w:ascii="AR CENA" w:hAnsi="AR CENA"/>
        </w:rPr>
        <w:t xml:space="preserve">in his three-volume history of the NLRB, the ﬁrst two of which were published before Tomlins’ book.3 Perhaps more intriguing as we look back on Tomlins’ contribution is the reaction of Craig Becker in a full-length Harvard Law Review article, relevant for both its content and its author. Parallel to </w:t>
      </w:r>
      <w:proofErr w:type="spellStart"/>
      <w:r w:rsidRPr="000D5B50">
        <w:rPr>
          <w:rFonts w:ascii="AR CENA" w:hAnsi="AR CENA"/>
        </w:rPr>
        <w:t>Dubofsky</w:t>
      </w:r>
      <w:proofErr w:type="spellEnd"/>
      <w:r w:rsidRPr="000D5B50">
        <w:rPr>
          <w:rFonts w:ascii="AR CENA" w:hAnsi="AR CENA"/>
        </w:rPr>
        <w:t xml:space="preserve">, Becker argued that Tomlins failed to appreciate internal complexities of the labor movement and its responses to the NLRA. Furthermore, although agreeing that the New Deal ‘was hardly an unalloyed victory for unions,’ Becker chided Tomlins for dismissing ‘far too hastily the rights the NLRA afforded labor.’4 Given Becker’s recent position on the NLRB (as an Obama recess appointee loudly condemned by the Republican right), a careful read of his reaction to The State and the Unions should prove valuable for those who are monitoring the actions of the Board a quarter of a century later. Indeed, even those of us who praised Tomlins in the mid-1980s have cause to reevaluate the efﬁcacy of his damning of the NLRA. </w:t>
      </w:r>
      <w:proofErr w:type="spellStart"/>
      <w:r w:rsidRPr="000D5B50">
        <w:rPr>
          <w:rFonts w:ascii="AR CENA" w:hAnsi="AR CENA"/>
        </w:rPr>
        <w:t>Vinel</w:t>
      </w:r>
      <w:proofErr w:type="spellEnd"/>
      <w:r w:rsidRPr="000D5B50">
        <w:rPr>
          <w:rFonts w:ascii="AR CENA" w:hAnsi="AR CENA"/>
        </w:rPr>
        <w:t xml:space="preserve"> captures this revised perspective in his thoughtful essay when he notes, ‘Thirty years of conservative rule have fundamentally changed the debate on the merits of the system created by the pluralists of the 1930s.’ The New Deal may have done less to create a just society than recalled by champions of Franklin Delano Roosevelt among historians and labor relations academics, but it most certainly offered more to workers and unions that the current neoliberalism that dominates the thinking and policies of both major political parties. To fully appreciate how a recasting of Tomlins may make sense </w:t>
      </w:r>
      <w:proofErr w:type="gramStart"/>
      <w:r w:rsidRPr="000D5B50">
        <w:rPr>
          <w:rFonts w:ascii="AR CENA" w:hAnsi="AR CENA"/>
        </w:rPr>
        <w:t>in light of</w:t>
      </w:r>
      <w:proofErr w:type="gramEnd"/>
      <w:r w:rsidRPr="000D5B50">
        <w:rPr>
          <w:rFonts w:ascii="AR CENA" w:hAnsi="AR CENA"/>
        </w:rPr>
        <w:t xml:space="preserve"> what has transpired over the succeeding quarter century, we need to go beyond </w:t>
      </w:r>
      <w:proofErr w:type="spellStart"/>
      <w:r w:rsidRPr="000D5B50">
        <w:rPr>
          <w:rFonts w:ascii="AR CENA" w:hAnsi="AR CENA"/>
        </w:rPr>
        <w:t>Vinel’s</w:t>
      </w:r>
      <w:proofErr w:type="spellEnd"/>
      <w:r w:rsidRPr="000D5B50">
        <w:rPr>
          <w:rFonts w:ascii="AR CENA" w:hAnsi="AR CENA"/>
        </w:rPr>
        <w:t xml:space="preserve"> rendering and consider developments in union strategy and practice, including the push for labor law reform that has dominated the political agenda of unions since before the Reagan era.</w:t>
      </w:r>
    </w:p>
    <w:p w14:paraId="374D2D66" w14:textId="77777777" w:rsidR="000D5B50" w:rsidRPr="000D5B50" w:rsidRDefault="000D5B50" w:rsidP="000D5B50">
      <w:pPr>
        <w:rPr>
          <w:rFonts w:ascii="AR CENA" w:hAnsi="AR CENA"/>
        </w:rPr>
      </w:pPr>
      <w:r w:rsidRPr="000D5B50">
        <w:rPr>
          <w:rFonts w:ascii="AR CENA" w:hAnsi="AR CENA"/>
        </w:rPr>
        <w:t xml:space="preserve">Union transformation: the search for a militant working class </w:t>
      </w:r>
      <w:proofErr w:type="gramStart"/>
      <w:r w:rsidRPr="000D5B50">
        <w:rPr>
          <w:rFonts w:ascii="AR CENA" w:hAnsi="AR CENA"/>
        </w:rPr>
        <w:t>As</w:t>
      </w:r>
      <w:proofErr w:type="gramEnd"/>
      <w:r w:rsidRPr="000D5B50">
        <w:rPr>
          <w:rFonts w:ascii="AR CENA" w:hAnsi="AR CENA"/>
        </w:rPr>
        <w:t xml:space="preserve"> if on cue from Tomlins and the publication of his book, 1985 was a pivotal year for the labor movement with the release of the American Federation of Labor – Congress of Industrial Organizations (AFL-CIO’s) blueprint for revitalization, The Changing Situation of Workers and Their Unions. The culmination of a strategic planning process that involved the presidents of most major unions, The Changing Situation, offered ﬁve sets of recommendations, two of which are relevant here: increase member participation/activism and improve organizing methods.5 Initiatives to address members’ apathy were initially framed as internal organizing, then later as the organizing model that was contrasted with the servicing model, or the traditional insurance agent approach to union representation.6 Most unions endorsed the organizing model at least rhetorically, and several initiated broad-based efforts to inspire activism and militancy. For example, the Communications Workers of America devoted considerable resources to a mobilization structure that increased member involvement in both workplace actions and coalitions with other unions and community organizations.7 Similarly, the Service Employees International Union (SEIU) designed a contract campaign framework to increase militancy during contract negotiations,8 and encouraged locals to experiment with approaches to implement the organizing model in all aspects of their work. On the external organizing front, the AFL-CIO created the Organizing Institute (OI) to recruit, train, and place union organizers. The OI adopted a grassroots style that paralleled</w:t>
      </w:r>
    </w:p>
    <w:p w14:paraId="26D373CE" w14:textId="77777777" w:rsidR="000D5B50" w:rsidRPr="000D5B50" w:rsidRDefault="000D5B50" w:rsidP="000D5B50">
      <w:pPr>
        <w:rPr>
          <w:rFonts w:ascii="AR CENA" w:hAnsi="AR CENA"/>
        </w:rPr>
      </w:pPr>
      <w:r w:rsidRPr="000D5B50">
        <w:rPr>
          <w:rFonts w:ascii="AR CENA" w:hAnsi="AR CENA"/>
        </w:rPr>
        <w:t>R.W. Hurd194</w:t>
      </w:r>
    </w:p>
    <w:p w14:paraId="190E76D6" w14:textId="77777777" w:rsidR="000D5B50" w:rsidRPr="000D5B50" w:rsidRDefault="000D5B50" w:rsidP="000D5B50">
      <w:pPr>
        <w:rPr>
          <w:rFonts w:ascii="AR CENA" w:hAnsi="AR CENA"/>
        </w:rPr>
      </w:pPr>
      <w:r w:rsidRPr="000D5B50">
        <w:rPr>
          <w:rFonts w:ascii="AR CENA" w:hAnsi="AR CENA"/>
        </w:rPr>
        <w:lastRenderedPageBreak/>
        <w:t xml:space="preserve">the mobilization efforts being developed to increase member activism. This bottom-up organizing contrasted with the traditional method of selling union representation to prospective customers. By the mid-1990s there were hundreds of OI trained organizers working in the labor movement, and the OI method of member recruitment was accepted as the preferred ‘model’ of organizing. Perhaps because of the parallels to the mobilization of current members being promoted simultaneously, it became common for those in union circles to refer to the OI style as the organizing model. Thus, for the past 15 plus years, the term has been used indiscriminately to refer to both internal and external organizing with an activist core.9 In spite of nearly a decade of concerted efforts to build an activist culture, union density continued to decline into the mid-1990s. Frustration among the more engaged elements of the labor movement culminated in a successful effort to oust long time President Lane Kirkland and elect a new slate of AFL-CIO ofﬁcers in 1995: John Sweeney, Richard </w:t>
      </w:r>
      <w:proofErr w:type="spellStart"/>
      <w:r w:rsidRPr="000D5B50">
        <w:rPr>
          <w:rFonts w:ascii="AR CENA" w:hAnsi="AR CENA"/>
        </w:rPr>
        <w:t>Trumka</w:t>
      </w:r>
      <w:proofErr w:type="spellEnd"/>
      <w:r w:rsidRPr="000D5B50">
        <w:rPr>
          <w:rFonts w:ascii="AR CENA" w:hAnsi="AR CENA"/>
        </w:rPr>
        <w:t xml:space="preserve">, and Linda Chavez-Thompson. This ‘New Voice’ team promised to ‘organize at a pace and scale that is unprecedented.’10 Under the strategic guidance of Richard </w:t>
      </w:r>
      <w:proofErr w:type="spellStart"/>
      <w:r w:rsidRPr="000D5B50">
        <w:rPr>
          <w:rFonts w:ascii="AR CENA" w:hAnsi="AR CENA"/>
        </w:rPr>
        <w:t>Bensinger</w:t>
      </w:r>
      <w:proofErr w:type="spellEnd"/>
      <w:r w:rsidRPr="000D5B50">
        <w:rPr>
          <w:rFonts w:ascii="AR CENA" w:hAnsi="AR CENA"/>
        </w:rPr>
        <w:t xml:space="preserve">, who moved from the OI to become Organizing Director, a blueprint for growth was adopted and vigorously promoted as ‘Organizing for Change, Changing to Organize.’11 These efforts at revitalization are relevant to an assessment of Tomlins’ enduring contribution because they offered the potential for radical change in organized labor even within constraints of the NLRA framework. </w:t>
      </w:r>
      <w:proofErr w:type="gramStart"/>
      <w:r w:rsidRPr="000D5B50">
        <w:rPr>
          <w:rFonts w:ascii="AR CENA" w:hAnsi="AR CENA"/>
        </w:rPr>
        <w:t>Indeed</w:t>
      </w:r>
      <w:proofErr w:type="gramEnd"/>
      <w:r w:rsidRPr="000D5B50">
        <w:rPr>
          <w:rFonts w:ascii="AR CENA" w:hAnsi="AR CENA"/>
        </w:rPr>
        <w:t xml:space="preserve"> speciﬁc unions and groups of unions began to look tantalizingly like a left, militant labor movement. Many of us in scholarly circles reported, analyzed, and hailed the transformation in progress as the beginning of a new social movement unionism, or social justice unionism.12 The enthusiasm was never fully justiﬁed. It became clear within relatively few years that the internal application of the organizing model was proving to be difﬁcult except during the period immediately preceding the expiration of a collective bargaining agreement. Even then, mobilization required careful planning and intense efforts by staff and elected leaders. Burnout was a common problem, and rank-and-ﬁle enthusiasm was difﬁcult to sustain. It seemed that union members did not have a taste for perpetual warfare, preferring stability rather than class struggle.13 External organizing seemed to offer more potential, especially with enthusiastic leadership from John Sweeney and the AFL-ICO. But the Changing to Organize agenda included not only a grassroots approach (which proved threatening to elected leaders at the local level) but also a substantial shift of resources. Individual national unions were happy to proclaim support for the organizing priority, but union ofﬁcers jealously guarded their authority over resource allocation, organizing strategy, target selection, and all decisions regarding coordination with other unions. Efforts by the AFL-CIO to take the strategic lead and build a movement wide growth agenda were effectively rejected.14 The end result was continued decline, and growing frustration among those unions that were most committed to the organizing priority. Dissension came to a head in 2005 when the SEIU led the exodus of six key unions from the AFL-CIO to form Change to Win (CTW). Some saw the new federation </w:t>
      </w:r>
      <w:proofErr w:type="gramStart"/>
      <w:r w:rsidRPr="000D5B50">
        <w:rPr>
          <w:rFonts w:ascii="AR CENA" w:hAnsi="AR CENA"/>
        </w:rPr>
        <w:t>as yet</w:t>
      </w:r>
      <w:proofErr w:type="gramEnd"/>
      <w:r w:rsidRPr="000D5B50">
        <w:rPr>
          <w:rFonts w:ascii="AR CENA" w:hAnsi="AR CENA"/>
        </w:rPr>
        <w:t xml:space="preserve"> another sign that union revitalization was still vibrant, and indeed for the ﬁrst few years strategic coordination among CTW unions suggested potential vitality. But internal warfare at SEIU and UNITE-HERE undermined potential gains. Realistically, the split and subsequent events merely sealed the fate of a 24-year failed attempt to transform and revitalize a declining movement.15</w:t>
      </w:r>
    </w:p>
    <w:p w14:paraId="5AF1B0C7" w14:textId="77777777" w:rsidR="000D5B50" w:rsidRPr="000D5B50" w:rsidRDefault="000D5B50" w:rsidP="000D5B50">
      <w:pPr>
        <w:rPr>
          <w:rFonts w:ascii="AR CENA" w:hAnsi="AR CENA"/>
        </w:rPr>
      </w:pPr>
      <w:r w:rsidRPr="000D5B50">
        <w:rPr>
          <w:rFonts w:ascii="AR CENA" w:hAnsi="AR CENA"/>
        </w:rPr>
        <w:t>Labor History 195</w:t>
      </w:r>
    </w:p>
    <w:p w14:paraId="0517B59D" w14:textId="77777777" w:rsidR="000D5B50" w:rsidRPr="000D5B50" w:rsidRDefault="000D5B50" w:rsidP="000D5B50">
      <w:pPr>
        <w:rPr>
          <w:rFonts w:ascii="AR CENA" w:hAnsi="AR CENA"/>
        </w:rPr>
      </w:pPr>
      <w:r w:rsidRPr="000D5B50">
        <w:rPr>
          <w:rFonts w:ascii="AR CENA" w:hAnsi="AR CENA"/>
        </w:rPr>
        <w:lastRenderedPageBreak/>
        <w:t xml:space="preserve">Could labor’s failure to rekindle the ﬂames of rank-and-ﬁle militancy be blamed on the strictures of law, and therefore be interpreted as a conﬁrmation of the durability of Tomlins thesis over time? Perhaps but other factors were clearly also at play. As </w:t>
      </w:r>
      <w:proofErr w:type="spellStart"/>
      <w:r w:rsidRPr="000D5B50">
        <w:rPr>
          <w:rFonts w:ascii="AR CENA" w:hAnsi="AR CENA"/>
        </w:rPr>
        <w:t>Vinel</w:t>
      </w:r>
      <w:proofErr w:type="spellEnd"/>
      <w:r w:rsidRPr="000D5B50">
        <w:rPr>
          <w:rFonts w:ascii="AR CENA" w:hAnsi="AR CENA"/>
        </w:rPr>
        <w:t xml:space="preserve"> reminds us, many scholars have expressed doubts that there was ever any real potential for a </w:t>
      </w:r>
      <w:proofErr w:type="spellStart"/>
      <w:r w:rsidRPr="000D5B50">
        <w:rPr>
          <w:rFonts w:ascii="AR CENA" w:hAnsi="AR CENA"/>
        </w:rPr>
        <w:t>leftprogressive</w:t>
      </w:r>
      <w:proofErr w:type="spellEnd"/>
      <w:r w:rsidRPr="000D5B50">
        <w:rPr>
          <w:rFonts w:ascii="AR CENA" w:hAnsi="AR CENA"/>
        </w:rPr>
        <w:t xml:space="preserve"> labor movement in the USA. For these skeptics, it was not the law that deradicalized unions in the 1940s and 1950s; labor de-radicalized itself. Similarly, over the past 20 years the inability to overcome institutional rigidity and build a more activist movement is as much a sign of internal weakness as of external constraints.</w:t>
      </w:r>
    </w:p>
    <w:p w14:paraId="799EEA0D" w14:textId="77777777" w:rsidR="000D5B50" w:rsidRPr="000D5B50" w:rsidRDefault="000D5B50" w:rsidP="000D5B50">
      <w:pPr>
        <w:rPr>
          <w:rFonts w:ascii="AR CENA" w:hAnsi="AR CENA"/>
        </w:rPr>
      </w:pPr>
      <w:r w:rsidRPr="000D5B50">
        <w:rPr>
          <w:rFonts w:ascii="AR CENA" w:hAnsi="AR CENA"/>
        </w:rPr>
        <w:t xml:space="preserve">Unions and the law: labor’s campaign to restore the promise of the Wagner Act </w:t>
      </w:r>
      <w:proofErr w:type="spellStart"/>
      <w:r w:rsidRPr="000D5B50">
        <w:rPr>
          <w:rFonts w:ascii="AR CENA" w:hAnsi="AR CENA"/>
        </w:rPr>
        <w:t>Vinel</w:t>
      </w:r>
      <w:proofErr w:type="spellEnd"/>
      <w:r w:rsidRPr="000D5B50">
        <w:rPr>
          <w:rFonts w:ascii="AR CENA" w:hAnsi="AR CENA"/>
        </w:rPr>
        <w:t xml:space="preserve"> presents us with two complementary interpretations of labor’s view of the law. First, based on public posturing by two prominent labor leaders in the 1980s, </w:t>
      </w:r>
      <w:proofErr w:type="spellStart"/>
      <w:r w:rsidRPr="000D5B50">
        <w:rPr>
          <w:rFonts w:ascii="AR CENA" w:hAnsi="AR CENA"/>
        </w:rPr>
        <w:t>Vinel</w:t>
      </w:r>
      <w:proofErr w:type="spellEnd"/>
      <w:r w:rsidRPr="000D5B50">
        <w:rPr>
          <w:rFonts w:ascii="AR CENA" w:hAnsi="AR CENA"/>
        </w:rPr>
        <w:t xml:space="preserve"> asserts that ‘Tomlins’ conclusions gained </w:t>
      </w:r>
      <w:proofErr w:type="gramStart"/>
      <w:r w:rsidRPr="000D5B50">
        <w:rPr>
          <w:rFonts w:ascii="AR CENA" w:hAnsi="AR CENA"/>
        </w:rPr>
        <w:t>particular favor</w:t>
      </w:r>
      <w:proofErr w:type="gramEnd"/>
      <w:r w:rsidRPr="000D5B50">
        <w:rPr>
          <w:rFonts w:ascii="AR CENA" w:hAnsi="AR CENA"/>
        </w:rPr>
        <w:t xml:space="preserve">. Second, </w:t>
      </w:r>
      <w:proofErr w:type="spellStart"/>
      <w:r w:rsidRPr="000D5B50">
        <w:rPr>
          <w:rFonts w:ascii="AR CENA" w:hAnsi="AR CENA"/>
        </w:rPr>
        <w:t>Vinel</w:t>
      </w:r>
      <w:proofErr w:type="spellEnd"/>
      <w:r w:rsidRPr="000D5B50">
        <w:rPr>
          <w:rFonts w:ascii="AR CENA" w:hAnsi="AR CENA"/>
        </w:rPr>
        <w:t xml:space="preserve"> proclaims that in recent years labor has pursued a ‘new progressive statist agenda’ with its campaign for the Employee Free Choice Act (EFCA). A careful review of criticisms of the NLRB in the 1980s, and of the labor movement’s political program reveals neither an embrace of Tomlins nor a new progressive agenda. Regarding labor’s supposed endorsement of Tomlins’ thesis, </w:t>
      </w:r>
      <w:proofErr w:type="spellStart"/>
      <w:r w:rsidRPr="000D5B50">
        <w:rPr>
          <w:rFonts w:ascii="AR CENA" w:hAnsi="AR CENA"/>
        </w:rPr>
        <w:t>Vinel</w:t>
      </w:r>
      <w:proofErr w:type="spellEnd"/>
      <w:r w:rsidRPr="000D5B50">
        <w:rPr>
          <w:rFonts w:ascii="AR CENA" w:hAnsi="AR CENA"/>
        </w:rPr>
        <w:t xml:space="preserve"> relies on quotes from AFL-CIO President Lane Kirkland and United Mineworkers of America President Richard </w:t>
      </w:r>
      <w:proofErr w:type="spellStart"/>
      <w:r w:rsidRPr="000D5B50">
        <w:rPr>
          <w:rFonts w:ascii="AR CENA" w:hAnsi="AR CENA"/>
        </w:rPr>
        <w:t>Trumka</w:t>
      </w:r>
      <w:proofErr w:type="spellEnd"/>
      <w:r w:rsidRPr="000D5B50">
        <w:rPr>
          <w:rFonts w:ascii="AR CENA" w:hAnsi="AR CENA"/>
        </w:rPr>
        <w:t xml:space="preserve">. Kirkland’s call for a return to ‘the law of the jungle’ (repeated several times during the 1980s) should be interpreted </w:t>
      </w:r>
      <w:proofErr w:type="gramStart"/>
      <w:r w:rsidRPr="000D5B50">
        <w:rPr>
          <w:rFonts w:ascii="AR CENA" w:hAnsi="AR CENA"/>
        </w:rPr>
        <w:t>in light of</w:t>
      </w:r>
      <w:proofErr w:type="gramEnd"/>
      <w:r w:rsidRPr="000D5B50">
        <w:rPr>
          <w:rFonts w:ascii="AR CENA" w:hAnsi="AR CENA"/>
        </w:rPr>
        <w:t xml:space="preserve"> his reputation for bombast and rhetorical ﬂourish. Samuel </w:t>
      </w:r>
      <w:proofErr w:type="spellStart"/>
      <w:r w:rsidRPr="000D5B50">
        <w:rPr>
          <w:rFonts w:ascii="AR CENA" w:hAnsi="AR CENA"/>
        </w:rPr>
        <w:t>Estreicher</w:t>
      </w:r>
      <w:proofErr w:type="spellEnd"/>
      <w:r w:rsidRPr="000D5B50">
        <w:rPr>
          <w:rFonts w:ascii="AR CENA" w:hAnsi="AR CENA"/>
        </w:rPr>
        <w:t xml:space="preserve"> and Matthew Bodie appropriately suggest that Kirkland made this proclamation ‘with tongue ﬁrmly implanted in cheek.’16 Kirkland’s wrath was aimed not at </w:t>
      </w:r>
      <w:proofErr w:type="gramStart"/>
      <w:r w:rsidRPr="000D5B50">
        <w:rPr>
          <w:rFonts w:ascii="AR CENA" w:hAnsi="AR CENA"/>
        </w:rPr>
        <w:t>thelawitself,butattheReaganpresidency</w:t>
      </w:r>
      <w:proofErr w:type="gramEnd"/>
      <w:r w:rsidRPr="000D5B50">
        <w:rPr>
          <w:rFonts w:ascii="AR CENA" w:hAnsi="AR CENA"/>
        </w:rPr>
        <w:t xml:space="preserve">(whichhedescribedas‘guideddoggedlybymyth and fallacy’), and particularly at the decisions of the NLRB during the Reagan years. As for the New Deal, Kirkland was an enthusiast and particularly fond of Senator Wagner.17 </w:t>
      </w:r>
      <w:proofErr w:type="spellStart"/>
      <w:r w:rsidRPr="000D5B50">
        <w:rPr>
          <w:rFonts w:ascii="AR CENA" w:hAnsi="AR CENA"/>
        </w:rPr>
        <w:t>Vinel’s</w:t>
      </w:r>
      <w:proofErr w:type="spellEnd"/>
      <w:r w:rsidRPr="000D5B50">
        <w:rPr>
          <w:rFonts w:ascii="AR CENA" w:hAnsi="AR CENA"/>
        </w:rPr>
        <w:t xml:space="preserve"> claim that </w:t>
      </w:r>
      <w:proofErr w:type="spellStart"/>
      <w:r w:rsidRPr="000D5B50">
        <w:rPr>
          <w:rFonts w:ascii="AR CENA" w:hAnsi="AR CENA"/>
        </w:rPr>
        <w:t>Trumka</w:t>
      </w:r>
      <w:proofErr w:type="spellEnd"/>
      <w:r w:rsidRPr="000D5B50">
        <w:rPr>
          <w:rFonts w:ascii="AR CENA" w:hAnsi="AR CENA"/>
        </w:rPr>
        <w:t xml:space="preserve"> ‘rejected the Progressive ideal of administrative government through experts and agencies’ is also misleading. </w:t>
      </w:r>
      <w:proofErr w:type="gramStart"/>
      <w:r w:rsidRPr="000D5B50">
        <w:rPr>
          <w:rFonts w:ascii="AR CENA" w:hAnsi="AR CENA"/>
        </w:rPr>
        <w:t>Indeed</w:t>
      </w:r>
      <w:proofErr w:type="gramEnd"/>
      <w:r w:rsidRPr="000D5B50">
        <w:rPr>
          <w:rFonts w:ascii="AR CENA" w:hAnsi="AR CENA"/>
        </w:rPr>
        <w:t xml:space="preserve"> </w:t>
      </w:r>
      <w:proofErr w:type="spellStart"/>
      <w:r w:rsidRPr="000D5B50">
        <w:rPr>
          <w:rFonts w:ascii="AR CENA" w:hAnsi="AR CENA"/>
        </w:rPr>
        <w:t>Trumka</w:t>
      </w:r>
      <w:proofErr w:type="spellEnd"/>
      <w:r w:rsidRPr="000D5B50">
        <w:rPr>
          <w:rFonts w:ascii="AR CENA" w:hAnsi="AR CENA"/>
        </w:rPr>
        <w:t xml:space="preserve"> did write ‘abolish the Act’ in a law review article, but as with Kirkland this was to drive home his criticism of the Reagan NLRB. In the same article he was explicit about this distinction, arguing that ‘labor law has become a dangerous farce’ because ‘the National Labor Relations Board has transformed itself under Ronald Regan into an active and conscious proponent of the destruction of unions.’ In contrast, he praised NLRB decisions during the Ford and Carter administrations. It was the NLRB headed by Reagan appointee Donald Dotson that </w:t>
      </w:r>
      <w:proofErr w:type="spellStart"/>
      <w:r w:rsidRPr="000D5B50">
        <w:rPr>
          <w:rFonts w:ascii="AR CENA" w:hAnsi="AR CENA"/>
        </w:rPr>
        <w:t>Trumka</w:t>
      </w:r>
      <w:proofErr w:type="spellEnd"/>
      <w:r w:rsidRPr="000D5B50">
        <w:rPr>
          <w:rFonts w:ascii="AR CENA" w:hAnsi="AR CENA"/>
        </w:rPr>
        <w:t xml:space="preserve"> condemned, not the Wagner Act itself, whose underpinnings he described as ‘fairness, rights of employees, and collective bargaining.’18 As this brief review of the essence of Kirkland’s and </w:t>
      </w:r>
      <w:proofErr w:type="spellStart"/>
      <w:r w:rsidRPr="000D5B50">
        <w:rPr>
          <w:rFonts w:ascii="AR CENA" w:hAnsi="AR CENA"/>
        </w:rPr>
        <w:t>Trumka’s</w:t>
      </w:r>
      <w:proofErr w:type="spellEnd"/>
      <w:r w:rsidRPr="000D5B50">
        <w:rPr>
          <w:rFonts w:ascii="AR CENA" w:hAnsi="AR CENA"/>
        </w:rPr>
        <w:t xml:space="preserve"> position regarding the NLRA should make clear, labor did not accept Tomlin’s perspective of the law as offering a ‘counterfeit liberty’ that had from the outset put unions ‘on a road of secular stagnation and decline.’ Rather, organized labor’s ofﬁcial position (and the personal views of most prominent labor leaders) consistently has been much closer to James Gross’s analysis: the intent of the Wagner Act was frustrated by the Taft-Hartley amendments, the politicization of the NLRB, and substantial intervention into labor policy by a conservative judiciary.19 This perspective is even more obvious when we consider labor’s efforts to reform the law. Labor’s political program dating back to the Carter administration is most accurately deﬁned as an effort to return to the original purposes of the Wagner Act. In 1977, the</w:t>
      </w:r>
    </w:p>
    <w:p w14:paraId="6085E065" w14:textId="77777777" w:rsidR="000D5B50" w:rsidRPr="000D5B50" w:rsidRDefault="000D5B50" w:rsidP="000D5B50">
      <w:pPr>
        <w:rPr>
          <w:rFonts w:ascii="AR CENA" w:hAnsi="AR CENA"/>
        </w:rPr>
      </w:pPr>
      <w:r w:rsidRPr="000D5B50">
        <w:rPr>
          <w:rFonts w:ascii="AR CENA" w:hAnsi="AR CENA"/>
        </w:rPr>
        <w:lastRenderedPageBreak/>
        <w:t>R.W. Hurd196</w:t>
      </w:r>
    </w:p>
    <w:p w14:paraId="0AFE5D49" w14:textId="77777777" w:rsidR="000D5B50" w:rsidRPr="000D5B50" w:rsidRDefault="000D5B50" w:rsidP="000D5B50">
      <w:pPr>
        <w:rPr>
          <w:rFonts w:ascii="AR CENA" w:hAnsi="AR CENA"/>
        </w:rPr>
      </w:pPr>
      <w:r w:rsidRPr="000D5B50">
        <w:rPr>
          <w:rFonts w:ascii="AR CENA" w:hAnsi="AR CENA"/>
        </w:rPr>
        <w:t xml:space="preserve">Carter Administration introduced a set of proposed amendments to the NLRA that was strongly supported by unions. The Labor Reform Act of 1977 would have accelerated the representation election process, increased penalties for unfair labor practice (ULP) violations related to illegal discharge for union </w:t>
      </w:r>
      <w:proofErr w:type="gramStart"/>
      <w:r w:rsidRPr="000D5B50">
        <w:rPr>
          <w:rFonts w:ascii="AR CENA" w:hAnsi="AR CENA"/>
        </w:rPr>
        <w:t>activity, and</w:t>
      </w:r>
      <w:proofErr w:type="gramEnd"/>
      <w:r w:rsidRPr="000D5B50">
        <w:rPr>
          <w:rFonts w:ascii="AR CENA" w:hAnsi="AR CENA"/>
        </w:rPr>
        <w:t xml:space="preserve"> provided for automatic wage increases based on a Bureau of Labor Statistics index in those ﬁrst contract negotiations in which employers refused to bargain. Testifying before the Senate on behalf of the AFLCIO, Lane Kirkland expressed regret that the proposal did not provide for the repeal of key anti-labor provisions of Taft-Hartley, but nonetheless praised the bill because it would further ‘the effective pursuit of the basic purpose of the Act, which is to assure the worker the right to be represented.’20 The bill passed the House but fell two votes short of the super majority required to stop debate in the Senate. Sixteen years later, during the Clinton administration, reform again seemed possible when the Secretary of Labor appointed the Dunlop Commission (ofﬁcially the Commission on the Future of Worker–Management Relations). Testifying before the Commission, Lane Kirkland explicitly endorsed yet again the ‘policy embedded in the NLRA,’ which he described as promoting ‘private dispute resolution and </w:t>
      </w:r>
      <w:proofErr w:type="spellStart"/>
      <w:r w:rsidRPr="000D5B50">
        <w:rPr>
          <w:rFonts w:ascii="AR CENA" w:hAnsi="AR CENA"/>
        </w:rPr>
        <w:t>labormanagement</w:t>
      </w:r>
      <w:proofErr w:type="spellEnd"/>
      <w:r w:rsidRPr="000D5B50">
        <w:rPr>
          <w:rFonts w:ascii="AR CENA" w:hAnsi="AR CENA"/>
        </w:rPr>
        <w:t xml:space="preserve"> cooperation.’ He went on to complain that this policy had been undermined by Congressional amendments and ‘sixty years of judicial interpretation.’21 The AFL-CIO submitted to the Commission a detailed set of proposals that included repeal of many of the provisions of Taft-Hartley, plus these familiar changes in the representation process: increased penalties for ULP violations during union organizing campaigns, card-check certiﬁcation, and ﬁrst contract arbitration.22 Although the latter proposals were included (in modiﬁed form) in the Dunlop Commission’s recommendations, other aspects of its ﬁnal report were unsavory to the labor movement. This proved irrelevant when Republicans regained control of the House of Representatives in the 1994 elections which erased any chance of Congressional action. Ironically, the 1994 election defeat of </w:t>
      </w:r>
      <w:proofErr w:type="spellStart"/>
      <w:r w:rsidRPr="000D5B50">
        <w:rPr>
          <w:rFonts w:ascii="AR CENA" w:hAnsi="AR CENA"/>
        </w:rPr>
        <w:t>laborbacked</w:t>
      </w:r>
      <w:proofErr w:type="spellEnd"/>
      <w:r w:rsidRPr="000D5B50">
        <w:rPr>
          <w:rFonts w:ascii="AR CENA" w:hAnsi="AR CENA"/>
        </w:rPr>
        <w:t xml:space="preserve"> candidates also paved the way for the ouster of Land Kirkland at the AFL-CIO. Labor law reform was not a priority during the early years of the ‘New Voice’ leaders at the AFL-CIO, who were convinced that aggressive organizing could reverse labor’s fortunes even given the weak protections afforded by the law (especially with help from a labor friendly NLRB headed by William Gould). But the organizing program faltered as noted, and by 2000 the pursuit of labor law reform was renewed. Now the AFL-CIO Secretary-Treasurer, Richard </w:t>
      </w:r>
      <w:proofErr w:type="spellStart"/>
      <w:r w:rsidRPr="000D5B50">
        <w:rPr>
          <w:rFonts w:ascii="AR CENA" w:hAnsi="AR CENA"/>
        </w:rPr>
        <w:t>Trumka</w:t>
      </w:r>
      <w:proofErr w:type="spellEnd"/>
      <w:r w:rsidRPr="000D5B50">
        <w:rPr>
          <w:rFonts w:ascii="AR CENA" w:hAnsi="AR CENA"/>
        </w:rPr>
        <w:t xml:space="preserve">, became a leading voice in the campaign. He argued that in order to succeed with the organizing priority, labor had to support the Democratic Party: ‘We can’t organize new workers unless we are successful politically... We should and must win labor law reform.’23 Although it had not yet been drafted, the 10-year campaign for the EFCA effectively began with the 2000 presidential elections. And what would EFCA have changed? Like the Carter amendments, it was restricted to securing representation rights; its provisions were similar to Carter’s and identical to the relevant portions of the AFL-CIO recommendations to the Dunlop Commission: EFCA would have eased union organizing by allowing card-check certiﬁcation to replace elections in most cases, it would have increased penalties for management of ULPs, and it would have provided for arbitration of ﬁrst contracts if bargaining failed after certiﬁcation. These modest proposals, patterned after Canadian practice, were designed not to replace the New Deal framework but to improve its effectiveness. There was not even an effort to repeal the more pernicious </w:t>
      </w:r>
      <w:r w:rsidRPr="000D5B50">
        <w:rPr>
          <w:rFonts w:ascii="AR CENA" w:hAnsi="AR CENA"/>
        </w:rPr>
        <w:lastRenderedPageBreak/>
        <w:t>provisions of the Taft-Hartley amendments, such as restrictions or secondary boycotts and organizing strikes and those weakening union security.</w:t>
      </w:r>
    </w:p>
    <w:p w14:paraId="5B4D5DC9" w14:textId="77777777" w:rsidR="000D5B50" w:rsidRPr="000D5B50" w:rsidRDefault="000D5B50" w:rsidP="000D5B50">
      <w:pPr>
        <w:rPr>
          <w:rFonts w:ascii="AR CENA" w:hAnsi="AR CENA"/>
        </w:rPr>
      </w:pPr>
      <w:r w:rsidRPr="000D5B50">
        <w:rPr>
          <w:rFonts w:ascii="AR CENA" w:hAnsi="AR CENA"/>
        </w:rPr>
        <w:t>Labor History 197</w:t>
      </w:r>
    </w:p>
    <w:p w14:paraId="4213BE90" w14:textId="77777777" w:rsidR="000D5B50" w:rsidRPr="000D5B50" w:rsidRDefault="000D5B50" w:rsidP="000D5B50">
      <w:pPr>
        <w:rPr>
          <w:rFonts w:ascii="AR CENA" w:hAnsi="AR CENA"/>
        </w:rPr>
      </w:pPr>
      <w:r w:rsidRPr="000D5B50">
        <w:rPr>
          <w:rFonts w:ascii="AR CENA" w:hAnsi="AR CENA"/>
        </w:rPr>
        <w:t xml:space="preserve">In contrast to </w:t>
      </w:r>
      <w:proofErr w:type="spellStart"/>
      <w:r w:rsidRPr="000D5B50">
        <w:rPr>
          <w:rFonts w:ascii="AR CENA" w:hAnsi="AR CENA"/>
        </w:rPr>
        <w:t>Vinel’s</w:t>
      </w:r>
      <w:proofErr w:type="spellEnd"/>
      <w:r w:rsidRPr="000D5B50">
        <w:rPr>
          <w:rFonts w:ascii="AR CENA" w:hAnsi="AR CENA"/>
        </w:rPr>
        <w:t xml:space="preserve"> presentation, then, the campaign for EFCA did not signify a new progressive statist agenda, but rather the continuation of labor’s long-term acceptance of the general framework of labor relations established by the Wagner Act. Had EFCA been enacted, some of the original promise of the Act would have been restored and it is possible that private sector union density would have increased modestly, but the </w:t>
      </w:r>
      <w:proofErr w:type="spellStart"/>
      <w:r w:rsidRPr="000D5B50">
        <w:rPr>
          <w:rFonts w:ascii="AR CENA" w:hAnsi="AR CENA"/>
        </w:rPr>
        <w:t>TaftHartley</w:t>
      </w:r>
      <w:proofErr w:type="spellEnd"/>
      <w:r w:rsidRPr="000D5B50">
        <w:rPr>
          <w:rFonts w:ascii="AR CENA" w:hAnsi="AR CENA"/>
        </w:rPr>
        <w:t xml:space="preserve"> restrictions on militance and state Right-to-Work laws would have remained, as would the inherent weakness in the duty-to-bargain provisions along with employers’ right to permanently replace striking workers. It is worth noting that the Obama NLRB is endeavoring to uphold recent member Becker’s 25-year-old assertion that the NLRA confers important rights for workers and unions. New rules proposed by the board would speed the certiﬁcation process much like the Carter bill of old, and are being vigorously supported by the AFL-CIO.24 Also the Board’s decisions have tilted in labor’s direction (consistent with Gross’s framework of a political process), including a rebuke of Boeing for relocating work from a unionized facility in Washington to a nonunion plant in South Carolina.25 But alas, labor had a friendly board during the Clinton years as well, but was unable to overcome internal inertia and external economic hurdles to mount effective revitalization.</w:t>
      </w:r>
    </w:p>
    <w:p w14:paraId="0A826C4A" w14:textId="77777777" w:rsidR="000D5B50" w:rsidRPr="000D5B50" w:rsidRDefault="000D5B50" w:rsidP="000D5B50">
      <w:pPr>
        <w:rPr>
          <w:rFonts w:ascii="AR CENA" w:hAnsi="AR CENA"/>
        </w:rPr>
      </w:pPr>
      <w:r w:rsidRPr="000D5B50">
        <w:rPr>
          <w:rFonts w:ascii="AR CENA" w:hAnsi="AR CENA"/>
        </w:rPr>
        <w:t xml:space="preserve">Does the law preclude a future for US unions? With the failure of the campaign for EFCA and the continuing decline of unions in the private sector, the future of US labor appears to be bleak. As one leading union strategist proclaimed in a conversation with American Prospect editor Harold Meyerson, ‘It’s Over.’26 Does this mean that the law as currently amended, interpreted and applied dooms labor to oblivion? It is easy to see how advocates for Tomlins’ basic analysis could make a strong case that his original conclusions have stood the test of time and have been conﬁrmed by the disappearing US labor movement. Indeed, there is little doubt that in the early twenty-ﬁrst century any semblance of liberty offered to the US working class is counterfeit, much as Tomlins asserted regarding the New Deal policies of the 1930s. But the source of the contemporary fraud is the full set of neoliberal economic policies, not the narrow construct of labor law alone. Richard </w:t>
      </w:r>
      <w:proofErr w:type="spellStart"/>
      <w:r w:rsidRPr="000D5B50">
        <w:rPr>
          <w:rFonts w:ascii="AR CENA" w:hAnsi="AR CENA"/>
        </w:rPr>
        <w:t>Trumka</w:t>
      </w:r>
      <w:proofErr w:type="spellEnd"/>
      <w:r w:rsidRPr="000D5B50">
        <w:rPr>
          <w:rFonts w:ascii="AR CENA" w:hAnsi="AR CENA"/>
        </w:rPr>
        <w:t xml:space="preserve">, now President of the AFL-CIO, explicitly recognizes the threat posed by neoliberalism, noting that ‘Workers voices have been silenced in the workplace.’ Although this recognition is paired with an overly sanguine portrayal of Roosevelt’s New Deal as ‘characterized by imagination and vision and a focus on the plight of the public,’27 this is understandable given the dismal prospects faced by the movement he leads. In reality, of course, unions clearly share the blame for their own decline, and the limitations of labor law (including the Wagner Act and subsequent amendments) have certainly contributed. But in the current era it is deregulation, global free trade, privatization, and ﬁnancial market speculation that have combined to reshape labor and product markets, and thereby to undermine the potential of collective action and union power. It is in this vein that </w:t>
      </w:r>
      <w:proofErr w:type="spellStart"/>
      <w:r w:rsidRPr="000D5B50">
        <w:rPr>
          <w:rFonts w:ascii="AR CENA" w:hAnsi="AR CENA"/>
        </w:rPr>
        <w:t>Vinel’s</w:t>
      </w:r>
      <w:proofErr w:type="spellEnd"/>
      <w:r w:rsidRPr="000D5B50">
        <w:rPr>
          <w:rFonts w:ascii="AR CENA" w:hAnsi="AR CENA"/>
        </w:rPr>
        <w:t xml:space="preserve"> most salient observations are offered in his concluding section regarding the ‘Right Nation.’ Neoliberal ideas with roots in the Austrian school of economics now dominate the thinking of the Republican right, and inexplicably inﬂuence even ‘left leaning’ Democrats and social democratic parties globally. It is only in this context that the EFCA campaign appeared to </w:t>
      </w:r>
      <w:r w:rsidRPr="000D5B50">
        <w:rPr>
          <w:rFonts w:ascii="AR CENA" w:hAnsi="AR CENA"/>
        </w:rPr>
        <w:lastRenderedPageBreak/>
        <w:t xml:space="preserve">represent a new progressive agenda, although </w:t>
      </w:r>
      <w:proofErr w:type="gramStart"/>
      <w:r w:rsidRPr="000D5B50">
        <w:rPr>
          <w:rFonts w:ascii="AR CENA" w:hAnsi="AR CENA"/>
        </w:rPr>
        <w:t>in reality it</w:t>
      </w:r>
      <w:proofErr w:type="gramEnd"/>
      <w:r w:rsidRPr="000D5B50">
        <w:rPr>
          <w:rFonts w:ascii="AR CENA" w:hAnsi="AR CENA"/>
        </w:rPr>
        <w:t xml:space="preserve"> was little more </w:t>
      </w:r>
      <w:proofErr w:type="spellStart"/>
      <w:r w:rsidRPr="000D5B50">
        <w:rPr>
          <w:rFonts w:ascii="AR CENA" w:hAnsi="AR CENA"/>
        </w:rPr>
        <w:t>that</w:t>
      </w:r>
      <w:proofErr w:type="spellEnd"/>
      <w:r w:rsidRPr="000D5B50">
        <w:rPr>
          <w:rFonts w:ascii="AR CENA" w:hAnsi="AR CENA"/>
        </w:rPr>
        <w:t xml:space="preserve"> an effort to recapture a semblance of what the</w:t>
      </w:r>
    </w:p>
    <w:p w14:paraId="4880FB6B" w14:textId="77777777" w:rsidR="000D5B50" w:rsidRPr="000D5B50" w:rsidRDefault="000D5B50" w:rsidP="000D5B50">
      <w:pPr>
        <w:rPr>
          <w:rFonts w:ascii="AR CENA" w:hAnsi="AR CENA"/>
        </w:rPr>
      </w:pPr>
      <w:r w:rsidRPr="000D5B50">
        <w:rPr>
          <w:rFonts w:ascii="AR CENA" w:hAnsi="AR CENA"/>
        </w:rPr>
        <w:t>R.W. Hurd198</w:t>
      </w:r>
    </w:p>
    <w:p w14:paraId="173A1BFA" w14:textId="77777777" w:rsidR="000D5B50" w:rsidRPr="000D5B50" w:rsidRDefault="000D5B50" w:rsidP="000D5B50">
      <w:pPr>
        <w:rPr>
          <w:rFonts w:ascii="AR CENA" w:hAnsi="AR CENA"/>
        </w:rPr>
      </w:pPr>
      <w:r w:rsidRPr="000D5B50">
        <w:rPr>
          <w:rFonts w:ascii="AR CENA" w:hAnsi="AR CENA"/>
        </w:rPr>
        <w:t>New Deal promised. In retrospect, then, the Wagner Act may have offered a constrained liberty, but that liberty was far more real than what seems possible in the contemporary political wasteland.</w:t>
      </w:r>
    </w:p>
    <w:p w14:paraId="361A37A3" w14:textId="2B501313" w:rsidR="00452738" w:rsidRPr="00BE3434" w:rsidRDefault="000D5B50" w:rsidP="000D5B50">
      <w:pPr>
        <w:rPr>
          <w:rFonts w:ascii="AR CENA" w:hAnsi="AR CENA"/>
        </w:rPr>
      </w:pPr>
      <w:r w:rsidRPr="000D5B50">
        <w:rPr>
          <w:rFonts w:ascii="AR CENA" w:hAnsi="AR CENA"/>
        </w:rPr>
        <w:t xml:space="preserve">Notes on contributor Richard W. Hurd is Professor of Labor Studies at Cornell University’s School of Industrial and Labor Relations. He works closely with labor organizations on strategic issues including organizational change, internal and external organizing, and leadership development. A regular contributor to labor relations academic journals, he also has co-edited four volumes, three published by Cornell University Press – Rekindling the Movement (2001), Beyond the Organizing Model (1998), and Restoring the Promise of American Labor Law (1994), and one by Edward Elgar Publishing – International Handbook on </w:t>
      </w:r>
      <w:proofErr w:type="spellStart"/>
      <w:r w:rsidRPr="000D5B50">
        <w:rPr>
          <w:rFonts w:ascii="AR CENA" w:hAnsi="AR CENA"/>
        </w:rPr>
        <w:t>Labour</w:t>
      </w:r>
      <w:proofErr w:type="spellEnd"/>
      <w:r w:rsidRPr="000D5B50">
        <w:rPr>
          <w:rFonts w:ascii="AR CENA" w:hAnsi="AR CENA"/>
        </w:rPr>
        <w:t xml:space="preserve"> Unions – Responses to Neoliberalism (2011).</w:t>
      </w:r>
    </w:p>
    <w:sectPr w:rsidR="00452738" w:rsidRPr="00BE3434" w:rsidSect="000071A2">
      <w:pgSz w:w="12240" w:h="15840"/>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 CENA">
    <w:altName w:val="Comic Sans MS"/>
    <w:charset w:val="00"/>
    <w:family w:val="auto"/>
    <w:pitch w:val="variable"/>
    <w:sig w:usb0="8000002F" w:usb1="0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E5247"/>
    <w:multiLevelType w:val="multilevel"/>
    <w:tmpl w:val="736A1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D43B1"/>
    <w:multiLevelType w:val="multilevel"/>
    <w:tmpl w:val="3506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772B8F"/>
    <w:multiLevelType w:val="hybridMultilevel"/>
    <w:tmpl w:val="EED2A0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F666691"/>
    <w:multiLevelType w:val="hybridMultilevel"/>
    <w:tmpl w:val="1B422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03CC3"/>
    <w:multiLevelType w:val="hybridMultilevel"/>
    <w:tmpl w:val="7994C5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6DC3004"/>
    <w:multiLevelType w:val="multilevel"/>
    <w:tmpl w:val="6AAE06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CE2"/>
    <w:rsid w:val="000071A2"/>
    <w:rsid w:val="00020FE6"/>
    <w:rsid w:val="000325D3"/>
    <w:rsid w:val="000556E6"/>
    <w:rsid w:val="0009627B"/>
    <w:rsid w:val="000B3B3E"/>
    <w:rsid w:val="000D5B50"/>
    <w:rsid w:val="000F4565"/>
    <w:rsid w:val="00103E08"/>
    <w:rsid w:val="001128A4"/>
    <w:rsid w:val="00114376"/>
    <w:rsid w:val="00156125"/>
    <w:rsid w:val="001929DA"/>
    <w:rsid w:val="001934FF"/>
    <w:rsid w:val="00203613"/>
    <w:rsid w:val="002201B1"/>
    <w:rsid w:val="0022220C"/>
    <w:rsid w:val="00230135"/>
    <w:rsid w:val="00297146"/>
    <w:rsid w:val="002A129A"/>
    <w:rsid w:val="002C0B6D"/>
    <w:rsid w:val="002E2BA7"/>
    <w:rsid w:val="00331108"/>
    <w:rsid w:val="00351FBB"/>
    <w:rsid w:val="0038228D"/>
    <w:rsid w:val="00393CCE"/>
    <w:rsid w:val="003D6746"/>
    <w:rsid w:val="003F00BE"/>
    <w:rsid w:val="00452738"/>
    <w:rsid w:val="004E2CE2"/>
    <w:rsid w:val="004E37D7"/>
    <w:rsid w:val="0052639D"/>
    <w:rsid w:val="005718FE"/>
    <w:rsid w:val="00654556"/>
    <w:rsid w:val="00666ECD"/>
    <w:rsid w:val="00693495"/>
    <w:rsid w:val="0071056B"/>
    <w:rsid w:val="007141E0"/>
    <w:rsid w:val="007321DC"/>
    <w:rsid w:val="00797F50"/>
    <w:rsid w:val="007A7F39"/>
    <w:rsid w:val="007E73C8"/>
    <w:rsid w:val="007F1ADC"/>
    <w:rsid w:val="0082289D"/>
    <w:rsid w:val="00824E67"/>
    <w:rsid w:val="00886C79"/>
    <w:rsid w:val="008D607C"/>
    <w:rsid w:val="009550BC"/>
    <w:rsid w:val="00965557"/>
    <w:rsid w:val="009731D0"/>
    <w:rsid w:val="009902AE"/>
    <w:rsid w:val="009D09DF"/>
    <w:rsid w:val="009F3837"/>
    <w:rsid w:val="00A02A31"/>
    <w:rsid w:val="00A411D2"/>
    <w:rsid w:val="00AF02E7"/>
    <w:rsid w:val="00B110B8"/>
    <w:rsid w:val="00B23336"/>
    <w:rsid w:val="00B451A1"/>
    <w:rsid w:val="00B57810"/>
    <w:rsid w:val="00B62589"/>
    <w:rsid w:val="00B9628F"/>
    <w:rsid w:val="00BB2210"/>
    <w:rsid w:val="00BD23F1"/>
    <w:rsid w:val="00BE3434"/>
    <w:rsid w:val="00C21B3E"/>
    <w:rsid w:val="00C742FA"/>
    <w:rsid w:val="00CB19FD"/>
    <w:rsid w:val="00D471AA"/>
    <w:rsid w:val="00D538AC"/>
    <w:rsid w:val="00D8788B"/>
    <w:rsid w:val="00D91994"/>
    <w:rsid w:val="00DA53D1"/>
    <w:rsid w:val="00DB62C8"/>
    <w:rsid w:val="00DE0CAB"/>
    <w:rsid w:val="00E207D7"/>
    <w:rsid w:val="00E44EEE"/>
    <w:rsid w:val="00E54CA6"/>
    <w:rsid w:val="00EF3201"/>
    <w:rsid w:val="00F33F17"/>
    <w:rsid w:val="00F36B65"/>
    <w:rsid w:val="00FB4D0D"/>
    <w:rsid w:val="00FC16EC"/>
    <w:rsid w:val="00FF2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A7646"/>
  <w14:defaultImageDpi w14:val="300"/>
  <w15:docId w15:val="{AF5BACBA-9928-4A8A-AADA-F519E688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2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27B"/>
    <w:rPr>
      <w:rFonts w:ascii="Lucida Grande" w:hAnsi="Lucida Grande" w:cs="Lucida Grande"/>
      <w:sz w:val="18"/>
      <w:szCs w:val="18"/>
    </w:rPr>
  </w:style>
  <w:style w:type="character" w:styleId="Hyperlink">
    <w:name w:val="Hyperlink"/>
    <w:basedOn w:val="DefaultParagraphFont"/>
    <w:uiPriority w:val="99"/>
    <w:unhideWhenUsed/>
    <w:rsid w:val="0009627B"/>
    <w:rPr>
      <w:color w:val="0000FF" w:themeColor="hyperlink"/>
      <w:u w:val="single"/>
    </w:rPr>
  </w:style>
  <w:style w:type="paragraph" w:styleId="ListParagraph">
    <w:name w:val="List Paragraph"/>
    <w:basedOn w:val="Normal"/>
    <w:uiPriority w:val="34"/>
    <w:qFormat/>
    <w:rsid w:val="0009627B"/>
    <w:pPr>
      <w:ind w:left="720"/>
      <w:contextualSpacing/>
    </w:pPr>
  </w:style>
  <w:style w:type="table" w:styleId="TableGrid">
    <w:name w:val="Table Grid"/>
    <w:basedOn w:val="TableNormal"/>
    <w:uiPriority w:val="59"/>
    <w:rsid w:val="000B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00BE"/>
    <w:rPr>
      <w:color w:val="800080" w:themeColor="followedHyperlink"/>
      <w:u w:val="single"/>
    </w:rPr>
  </w:style>
  <w:style w:type="character" w:styleId="UnresolvedMention">
    <w:name w:val="Unresolved Mention"/>
    <w:basedOn w:val="DefaultParagraphFont"/>
    <w:uiPriority w:val="99"/>
    <w:semiHidden/>
    <w:unhideWhenUsed/>
    <w:rsid w:val="00331108"/>
    <w:rPr>
      <w:color w:val="808080"/>
      <w:shd w:val="clear" w:color="auto" w:fill="E6E6E6"/>
    </w:rPr>
  </w:style>
  <w:style w:type="character" w:styleId="Emphasis">
    <w:name w:val="Emphasis"/>
    <w:basedOn w:val="DefaultParagraphFont"/>
    <w:uiPriority w:val="20"/>
    <w:qFormat/>
    <w:rsid w:val="000D5B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03489">
      <w:bodyDiv w:val="1"/>
      <w:marLeft w:val="0"/>
      <w:marRight w:val="0"/>
      <w:marTop w:val="0"/>
      <w:marBottom w:val="0"/>
      <w:divBdr>
        <w:top w:val="none" w:sz="0" w:space="0" w:color="auto"/>
        <w:left w:val="none" w:sz="0" w:space="0" w:color="auto"/>
        <w:bottom w:val="none" w:sz="0" w:space="0" w:color="auto"/>
        <w:right w:val="none" w:sz="0" w:space="0" w:color="auto"/>
      </w:divBdr>
      <w:divsChild>
        <w:div w:id="1225070685">
          <w:marLeft w:val="0"/>
          <w:marRight w:val="0"/>
          <w:marTop w:val="0"/>
          <w:marBottom w:val="0"/>
          <w:divBdr>
            <w:top w:val="none" w:sz="0" w:space="0" w:color="auto"/>
            <w:left w:val="none" w:sz="0" w:space="0" w:color="auto"/>
            <w:bottom w:val="none" w:sz="0" w:space="0" w:color="auto"/>
            <w:right w:val="none" w:sz="0" w:space="0" w:color="auto"/>
          </w:divBdr>
          <w:divsChild>
            <w:div w:id="1582717293">
              <w:marLeft w:val="0"/>
              <w:marRight w:val="0"/>
              <w:marTop w:val="0"/>
              <w:marBottom w:val="0"/>
              <w:divBdr>
                <w:top w:val="none" w:sz="0" w:space="0" w:color="auto"/>
                <w:left w:val="none" w:sz="0" w:space="0" w:color="auto"/>
                <w:bottom w:val="none" w:sz="0" w:space="0" w:color="auto"/>
                <w:right w:val="none" w:sz="0" w:space="0" w:color="auto"/>
              </w:divBdr>
              <w:divsChild>
                <w:div w:id="9000213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columbiasouthern.edu/webapps/blackboard/content/listContent.jsp?course_id=_84798_1&amp;content_id=_5268419_1&amp;mode=res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610D0-713E-466C-A4AF-2657D1C1D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3812</Words>
  <Characters>21729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11U - lori mckenna</dc:creator>
  <cp:keywords/>
  <dc:description/>
  <cp:lastModifiedBy>tamara pugh</cp:lastModifiedBy>
  <cp:revision>2</cp:revision>
  <cp:lastPrinted>2016-06-05T19:39:00Z</cp:lastPrinted>
  <dcterms:created xsi:type="dcterms:W3CDTF">2019-01-27T19:20:00Z</dcterms:created>
  <dcterms:modified xsi:type="dcterms:W3CDTF">2019-01-27T19:20:00Z</dcterms:modified>
</cp:coreProperties>
</file>